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137C7B">
        <w:rPr>
          <w:rFonts w:asciiTheme="minorHAnsi" w:hAnsiTheme="minorHAnsi"/>
          <w:bCs/>
          <w:sz w:val="36"/>
          <w:szCs w:val="36"/>
        </w:rPr>
        <w:t>1729/1/2017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CA432F"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CA432F">
        <w:rPr>
          <w:rFonts w:ascii="Calibri" w:hAnsi="Calibri"/>
          <w:sz w:val="22"/>
          <w:szCs w:val="22"/>
        </w:rPr>
        <w:t>…………………….</w:t>
      </w:r>
      <w:r w:rsidR="00F56CA0">
        <w:rPr>
          <w:rFonts w:ascii="Calibri" w:hAnsi="Calibri"/>
          <w:sz w:val="22"/>
          <w:szCs w:val="22"/>
        </w:rPr>
        <w:t xml:space="preserve">, DIČ: </w:t>
      </w:r>
      <w:r w:rsidR="00CA432F">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CA432F">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r w:rsidR="00CA432F">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CA432F">
        <w:rPr>
          <w:rFonts w:ascii="Calibri" w:hAnsi="Calibri"/>
          <w:sz w:val="22"/>
          <w:szCs w:val="22"/>
        </w:rPr>
        <w:t>………………………………</w:t>
      </w:r>
      <w:r w:rsidR="00137C7B">
        <w:rPr>
          <w:rFonts w:ascii="Calibri" w:hAnsi="Calibri"/>
          <w:sz w:val="22"/>
          <w:szCs w:val="22"/>
        </w:rPr>
        <w:t>.</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CA432F">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zapsaný v obchodním rejstříku vedeném u</w:t>
      </w:r>
      <w:r w:rsidR="00137C7B">
        <w:rPr>
          <w:rFonts w:ascii="Calibri" w:hAnsi="Calibri"/>
          <w:sz w:val="22"/>
          <w:szCs w:val="22"/>
        </w:rPr>
        <w:t xml:space="preserve"> Krajského soudu v </w:t>
      </w:r>
      <w:r w:rsidR="00CA432F">
        <w:rPr>
          <w:rFonts w:ascii="Calibri" w:hAnsi="Calibri"/>
          <w:sz w:val="22"/>
          <w:szCs w:val="22"/>
        </w:rPr>
        <w:t>…………………</w:t>
      </w:r>
      <w:r>
        <w:rPr>
          <w:rFonts w:ascii="Calibri" w:hAnsi="Calibri"/>
          <w:sz w:val="22"/>
          <w:szCs w:val="22"/>
        </w:rPr>
        <w:t>, oddíl</w:t>
      </w:r>
      <w:r w:rsidR="00CA432F">
        <w:rPr>
          <w:rFonts w:ascii="Calibri" w:hAnsi="Calibri"/>
          <w:sz w:val="22"/>
          <w:szCs w:val="22"/>
        </w:rPr>
        <w:t xml:space="preserve"> ….,</w:t>
      </w:r>
      <w:r>
        <w:rPr>
          <w:rFonts w:ascii="Calibri" w:hAnsi="Calibri"/>
          <w:sz w:val="22"/>
          <w:szCs w:val="22"/>
        </w:rPr>
        <w:t xml:space="preserve"> vložka </w:t>
      </w:r>
      <w:r w:rsidR="00CA432F">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CA432F">
        <w:t>……………………….</w:t>
      </w:r>
      <w:r w:rsidR="00E52341">
        <w:t xml:space="preserve"> na zhotovení akce „</w:t>
      </w:r>
      <w:r w:rsidR="005A63E9">
        <w:t>D</w:t>
      </w:r>
      <w:r w:rsidR="00CA432F">
        <w:t>ětská hřiště v Ústí nad Orlicí</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5A63E9">
        <w:t>D</w:t>
      </w:r>
      <w:r w:rsidR="00CA432F">
        <w:t>ětská hřiště v Ústí nad Orlicí</w:t>
      </w:r>
      <w:r w:rsidR="005A63E9">
        <w:t xml:space="preserve"> </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DB1C75">
        <w:rPr>
          <w:color w:val="auto"/>
        </w:rPr>
        <w:t>Ústí nad Orlicí</w:t>
      </w:r>
      <w:r w:rsidR="005A63E9" w:rsidRPr="00DB1C75">
        <w:rPr>
          <w:color w:val="auto"/>
        </w:rPr>
        <w:t>, Kerhartice</w:t>
      </w:r>
      <w:r w:rsidR="00DB1C75">
        <w:rPr>
          <w:color w:val="auto"/>
        </w:rPr>
        <w:t xml:space="preserve">, </w:t>
      </w:r>
      <w:r w:rsidR="00CA432F">
        <w:rPr>
          <w:color w:val="auto"/>
        </w:rPr>
        <w:t>Hylváty</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 xml:space="preserve">Předmětem této smlouvy je </w:t>
      </w:r>
      <w:r w:rsidR="005A63E9">
        <w:t>dodávka</w:t>
      </w:r>
      <w:r w:rsidR="009C16F0">
        <w:t xml:space="preserve"> a</w:t>
      </w:r>
      <w:r w:rsidR="005A63E9">
        <w:t xml:space="preserve"> montáž herních prvků </w:t>
      </w:r>
      <w:r w:rsidR="009C16F0">
        <w:t>v rozsahu</w:t>
      </w:r>
      <w:r w:rsidR="00DB1C75">
        <w:t xml:space="preserve"> uvedeném v čl. III odst. 3.</w:t>
      </w:r>
      <w:r w:rsidR="00A63814">
        <w:t>3</w:t>
      </w:r>
      <w:r w:rsidR="00DB1C75">
        <w:t xml:space="preserve"> včetně dodání vstupní revize</w:t>
      </w:r>
      <w:r w:rsidR="009C16F0">
        <w:t xml:space="preserve"> od nezávislého revizora</w:t>
      </w:r>
      <w:r w:rsidR="00C5698E">
        <w:t xml:space="preserve"> a jednotlivé lokality zvlášť (Ústí nad O</w:t>
      </w:r>
      <w:r w:rsidR="00DF5292">
        <w:t>rlicí, Kerhartice, Hylváty)</w:t>
      </w:r>
      <w:r w:rsidR="0076495C">
        <w:t>.</w:t>
      </w:r>
    </w:p>
    <w:p w:rsidR="00B34247" w:rsidRPr="0095431C" w:rsidRDefault="00B34247" w:rsidP="00B34247">
      <w:pPr>
        <w:pStyle w:val="Bod1"/>
        <w:rPr>
          <w:iCs w:val="0"/>
        </w:rPr>
      </w:pPr>
    </w:p>
    <w:p w:rsidR="00C9359F"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7F7C57" w:rsidRDefault="007F7C57" w:rsidP="00C1048B">
      <w:pPr>
        <w:pStyle w:val="Bod1"/>
      </w:pPr>
    </w:p>
    <w:p w:rsidR="00AA0805" w:rsidRPr="008A6AA7" w:rsidRDefault="00AA0805" w:rsidP="00C1048B">
      <w:pPr>
        <w:pStyle w:val="Bod1"/>
        <w:rPr>
          <w:i/>
        </w:rPr>
      </w:pPr>
      <w:r>
        <w:t>3.</w:t>
      </w:r>
      <w:r w:rsidR="00BC2E45">
        <w:t>3</w:t>
      </w:r>
      <w:r>
        <w:t xml:space="preserve"> </w:t>
      </w:r>
      <w:r>
        <w:tab/>
        <w:t>Seznam herních prvků:</w:t>
      </w:r>
      <w:r w:rsidR="008A6AA7">
        <w:t xml:space="preserve"> </w:t>
      </w:r>
      <w:r w:rsidR="008A6AA7" w:rsidRPr="008A6AA7">
        <w:rPr>
          <w:i/>
        </w:rPr>
        <w:t>(doplnit názvy prvků)</w:t>
      </w:r>
    </w:p>
    <w:p w:rsidR="00AA0805" w:rsidRDefault="00AA0805" w:rsidP="00C1048B">
      <w:pPr>
        <w:pStyle w:val="Bod1"/>
      </w:pPr>
    </w:p>
    <w:p w:rsidR="00AA0805" w:rsidRPr="00365C6B" w:rsidRDefault="00AA0805" w:rsidP="00AA0805">
      <w:pPr>
        <w:autoSpaceDE w:val="0"/>
        <w:autoSpaceDN w:val="0"/>
        <w:adjustRightInd w:val="0"/>
        <w:ind w:firstLine="567"/>
        <w:rPr>
          <w:rFonts w:asciiTheme="minorHAnsi" w:hAnsiTheme="minorHAnsi"/>
          <w:iCs/>
          <w:sz w:val="6"/>
          <w:szCs w:val="6"/>
        </w:rPr>
      </w:pPr>
      <w:r>
        <w:rPr>
          <w:rFonts w:asciiTheme="minorHAnsi" w:hAnsiTheme="minorHAnsi" w:cs="TT61Eo00"/>
          <w:sz w:val="22"/>
          <w:szCs w:val="22"/>
        </w:rPr>
        <w:tab/>
      </w:r>
      <w:r>
        <w:rPr>
          <w:rFonts w:asciiTheme="minorHAnsi" w:hAnsiTheme="minorHAnsi" w:cs="TT61Eo00"/>
          <w:sz w:val="22"/>
          <w:szCs w:val="22"/>
        </w:rPr>
        <w:tab/>
      </w:r>
      <w:r>
        <w:rPr>
          <w:rFonts w:asciiTheme="minorHAnsi" w:hAnsiTheme="minorHAnsi" w:cs="TT61Eo00"/>
          <w:sz w:val="22"/>
          <w:szCs w:val="22"/>
        </w:rPr>
        <w:tab/>
      </w:r>
      <w:r>
        <w:rPr>
          <w:rFonts w:asciiTheme="minorHAnsi" w:hAnsiTheme="minorHAnsi" w:cs="TT61Eo00"/>
          <w:sz w:val="22"/>
          <w:szCs w:val="22"/>
        </w:rPr>
        <w:tab/>
      </w:r>
      <w:r>
        <w:rPr>
          <w:rFonts w:asciiTheme="minorHAnsi" w:hAnsiTheme="minorHAnsi" w:cs="TT61Eo00"/>
          <w:sz w:val="22"/>
          <w:szCs w:val="22"/>
        </w:rPr>
        <w:tab/>
      </w:r>
      <w:r>
        <w:rPr>
          <w:rFonts w:asciiTheme="minorHAnsi" w:hAnsiTheme="minorHAnsi" w:cs="TT61Eo00"/>
          <w:sz w:val="22"/>
          <w:szCs w:val="22"/>
        </w:rPr>
        <w:tab/>
      </w:r>
    </w:p>
    <w:p w:rsidR="00AA0805" w:rsidRDefault="001B01CC" w:rsidP="001B01CC">
      <w:pPr>
        <w:pStyle w:val="Bod1"/>
        <w:numPr>
          <w:ilvl w:val="0"/>
          <w:numId w:val="21"/>
        </w:numPr>
      </w:pPr>
      <w:r>
        <w:t>Kerhartice</w:t>
      </w:r>
    </w:p>
    <w:p w:rsidR="001B01CC" w:rsidRDefault="00A63814" w:rsidP="001B01CC">
      <w:pPr>
        <w:pStyle w:val="Bod1"/>
        <w:ind w:left="360" w:firstLine="0"/>
      </w:pPr>
      <w:r>
        <w:t>A.1)</w:t>
      </w:r>
    </w:p>
    <w:p w:rsidR="00A63814" w:rsidRDefault="00A63814" w:rsidP="001B01CC">
      <w:pPr>
        <w:pStyle w:val="Bod1"/>
        <w:ind w:left="360" w:firstLine="0"/>
      </w:pPr>
    </w:p>
    <w:p w:rsidR="001B01CC" w:rsidRDefault="001B01CC" w:rsidP="001B01CC">
      <w:pPr>
        <w:pStyle w:val="Bod1"/>
        <w:ind w:left="360" w:firstLine="0"/>
      </w:pPr>
      <w:r>
        <w:t>B) Park Čs. Legií</w:t>
      </w:r>
    </w:p>
    <w:p w:rsidR="001B01CC" w:rsidRDefault="00A63814" w:rsidP="001B01CC">
      <w:pPr>
        <w:pStyle w:val="Bod1"/>
        <w:ind w:left="360" w:firstLine="0"/>
      </w:pPr>
      <w:r>
        <w:t>B.1)</w:t>
      </w:r>
    </w:p>
    <w:p w:rsidR="00A63814" w:rsidRDefault="00A63814" w:rsidP="001B01CC">
      <w:pPr>
        <w:pStyle w:val="Bod1"/>
        <w:ind w:left="360" w:firstLine="0"/>
      </w:pPr>
    </w:p>
    <w:p w:rsidR="001B01CC" w:rsidRDefault="001B01CC" w:rsidP="001B01CC">
      <w:pPr>
        <w:pStyle w:val="Bod1"/>
        <w:ind w:left="360" w:firstLine="0"/>
      </w:pPr>
      <w:r>
        <w:t>C) Hylváty</w:t>
      </w:r>
    </w:p>
    <w:p w:rsidR="001B01CC" w:rsidRDefault="001B01CC" w:rsidP="001B01CC">
      <w:pPr>
        <w:pStyle w:val="Bod1"/>
        <w:ind w:left="360" w:firstLine="0"/>
      </w:pPr>
      <w:r>
        <w:t>1. lokalita (za č.p. 450)</w:t>
      </w:r>
    </w:p>
    <w:p w:rsidR="001B01CC" w:rsidRDefault="001B01CC" w:rsidP="001B01CC">
      <w:pPr>
        <w:pStyle w:val="Bod1"/>
        <w:ind w:left="360" w:firstLine="0"/>
      </w:pPr>
      <w:r>
        <w:t>C.1.1)</w:t>
      </w:r>
    </w:p>
    <w:p w:rsidR="001B01CC" w:rsidRDefault="001B01CC" w:rsidP="001B01CC">
      <w:pPr>
        <w:pStyle w:val="Bod1"/>
        <w:ind w:left="360" w:firstLine="0"/>
      </w:pPr>
      <w:r>
        <w:t>C.1.2)</w:t>
      </w:r>
    </w:p>
    <w:p w:rsidR="001B01CC" w:rsidRDefault="001B01CC" w:rsidP="001B01CC">
      <w:pPr>
        <w:pStyle w:val="Bod1"/>
        <w:ind w:left="360" w:firstLine="0"/>
      </w:pPr>
      <w:r>
        <w:t>C.1.3)</w:t>
      </w:r>
    </w:p>
    <w:p w:rsidR="001B01CC" w:rsidRDefault="001B01CC" w:rsidP="001B01CC">
      <w:pPr>
        <w:pStyle w:val="Bod1"/>
        <w:ind w:left="360" w:firstLine="0"/>
      </w:pPr>
      <w:r>
        <w:t>C.1.4)</w:t>
      </w:r>
    </w:p>
    <w:p w:rsidR="001B01CC" w:rsidRDefault="001B01CC" w:rsidP="001B01CC">
      <w:pPr>
        <w:pStyle w:val="Bod1"/>
        <w:ind w:left="360" w:firstLine="0"/>
      </w:pPr>
      <w:r>
        <w:t>C.1.5)</w:t>
      </w:r>
    </w:p>
    <w:p w:rsidR="001B01CC" w:rsidRDefault="001B01CC" w:rsidP="001B01CC">
      <w:pPr>
        <w:pStyle w:val="Bod1"/>
        <w:ind w:left="360" w:firstLine="0"/>
      </w:pPr>
      <w:r>
        <w:t>2. lokalita (za č.p. 445)</w:t>
      </w:r>
    </w:p>
    <w:p w:rsidR="001B01CC" w:rsidRDefault="001B01CC" w:rsidP="001B01CC">
      <w:pPr>
        <w:pStyle w:val="Bod1"/>
        <w:ind w:left="360" w:firstLine="0"/>
      </w:pPr>
      <w:r>
        <w:t>C.2.1)</w:t>
      </w:r>
    </w:p>
    <w:p w:rsidR="001B01CC" w:rsidRDefault="001B01CC" w:rsidP="001B01CC">
      <w:pPr>
        <w:pStyle w:val="Bod1"/>
        <w:ind w:left="360" w:firstLine="0"/>
      </w:pPr>
      <w:r>
        <w:t>C.2.2)</w:t>
      </w:r>
    </w:p>
    <w:p w:rsidR="001B01CC" w:rsidRDefault="001B01CC" w:rsidP="001B01CC">
      <w:pPr>
        <w:pStyle w:val="Bod1"/>
        <w:ind w:left="360" w:firstLine="0"/>
      </w:pPr>
      <w:r>
        <w:t>C.2.3)</w:t>
      </w:r>
    </w:p>
    <w:p w:rsidR="001B01CC" w:rsidRDefault="001B01CC" w:rsidP="001B01CC">
      <w:pPr>
        <w:pStyle w:val="Bod1"/>
        <w:ind w:left="360" w:firstLine="0"/>
      </w:pPr>
      <w:r>
        <w:t>C.2.4)</w:t>
      </w:r>
    </w:p>
    <w:p w:rsidR="001B01CC" w:rsidRDefault="001B01CC" w:rsidP="001B01CC">
      <w:pPr>
        <w:pStyle w:val="Bod1"/>
        <w:ind w:left="360" w:firstLine="0"/>
      </w:pPr>
      <w:r>
        <w:t>3. lokalita (kolem č.p. 409, 410)</w:t>
      </w:r>
    </w:p>
    <w:p w:rsidR="001B01CC" w:rsidRDefault="001B01CC" w:rsidP="001B01CC">
      <w:pPr>
        <w:pStyle w:val="Bod1"/>
        <w:ind w:left="360" w:firstLine="0"/>
      </w:pPr>
      <w:r>
        <w:t>C.3.1)</w:t>
      </w:r>
    </w:p>
    <w:p w:rsidR="001B01CC" w:rsidRDefault="001B01CC" w:rsidP="001B01CC">
      <w:pPr>
        <w:pStyle w:val="Bod1"/>
        <w:ind w:left="360" w:firstLine="0"/>
      </w:pPr>
      <w:r>
        <w:t>C.3.2)</w:t>
      </w:r>
    </w:p>
    <w:p w:rsidR="001B01CC" w:rsidRDefault="001B01CC" w:rsidP="001B01CC">
      <w:pPr>
        <w:pStyle w:val="Bod1"/>
        <w:ind w:left="360" w:firstLine="0"/>
      </w:pPr>
      <w:r>
        <w:t>C.3.3)</w:t>
      </w: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E52341"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CA432F">
        <w:rPr>
          <w:rFonts w:asciiTheme="minorHAnsi" w:hAnsiTheme="minorHAnsi"/>
          <w:iCs/>
          <w:color w:val="000000" w:themeColor="text1"/>
          <w:sz w:val="22"/>
          <w:szCs w:val="22"/>
        </w:rPr>
        <w:t>0</w:t>
      </w:r>
      <w:r w:rsidR="00721668">
        <w:rPr>
          <w:rFonts w:asciiTheme="minorHAnsi" w:hAnsiTheme="minorHAnsi"/>
          <w:iCs/>
          <w:color w:val="000000" w:themeColor="text1"/>
          <w:sz w:val="22"/>
          <w:szCs w:val="22"/>
        </w:rPr>
        <w:t>1.0</w:t>
      </w:r>
      <w:r w:rsidR="009F0E8D">
        <w:rPr>
          <w:rFonts w:asciiTheme="minorHAnsi" w:hAnsiTheme="minorHAnsi"/>
          <w:iCs/>
          <w:color w:val="000000" w:themeColor="text1"/>
          <w:sz w:val="22"/>
          <w:szCs w:val="22"/>
        </w:rPr>
        <w:t>6</w:t>
      </w:r>
      <w:r w:rsidR="00721668">
        <w:rPr>
          <w:rFonts w:asciiTheme="minorHAnsi" w:hAnsiTheme="minorHAnsi"/>
          <w:iCs/>
          <w:color w:val="000000" w:themeColor="text1"/>
          <w:sz w:val="22"/>
          <w:szCs w:val="22"/>
        </w:rPr>
        <w:t>.2017</w:t>
      </w:r>
    </w:p>
    <w:p w:rsidR="00996801" w:rsidRPr="00E52341"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Ukončení prací</w:t>
      </w:r>
      <w:r w:rsidR="002C75E8" w:rsidRPr="00E52341">
        <w:rPr>
          <w:rFonts w:asciiTheme="minorHAnsi" w:hAnsiTheme="minorHAnsi"/>
          <w:iCs/>
          <w:color w:val="000000" w:themeColor="text1"/>
          <w:sz w:val="22"/>
          <w:szCs w:val="22"/>
        </w:rPr>
        <w:t xml:space="preserve"> do:</w:t>
      </w:r>
      <w:r w:rsidR="00E52341">
        <w:rPr>
          <w:rFonts w:asciiTheme="minorHAnsi" w:hAnsiTheme="minorHAnsi"/>
          <w:iCs/>
          <w:color w:val="000000" w:themeColor="text1"/>
          <w:sz w:val="22"/>
          <w:szCs w:val="22"/>
        </w:rPr>
        <w:tab/>
      </w:r>
      <w:r w:rsidR="00CA432F">
        <w:rPr>
          <w:rFonts w:asciiTheme="minorHAnsi" w:hAnsiTheme="minorHAnsi"/>
          <w:iCs/>
          <w:color w:val="000000" w:themeColor="text1"/>
          <w:sz w:val="22"/>
          <w:szCs w:val="22"/>
        </w:rPr>
        <w:t>31</w:t>
      </w:r>
      <w:r w:rsidR="00721668">
        <w:rPr>
          <w:rFonts w:asciiTheme="minorHAnsi" w:hAnsiTheme="minorHAnsi"/>
          <w:iCs/>
          <w:color w:val="000000" w:themeColor="text1"/>
          <w:sz w:val="22"/>
          <w:szCs w:val="22"/>
        </w:rPr>
        <w:t>.0</w:t>
      </w:r>
      <w:r w:rsidR="000D16C2">
        <w:rPr>
          <w:rFonts w:asciiTheme="minorHAnsi" w:hAnsiTheme="minorHAnsi"/>
          <w:iCs/>
          <w:color w:val="000000" w:themeColor="text1"/>
          <w:sz w:val="22"/>
          <w:szCs w:val="22"/>
        </w:rPr>
        <w:t>7</w:t>
      </w:r>
      <w:r w:rsidR="00721668">
        <w:rPr>
          <w:rFonts w:asciiTheme="minorHAnsi" w:hAnsiTheme="minorHAnsi"/>
          <w:iCs/>
          <w:color w:val="000000" w:themeColor="text1"/>
          <w:sz w:val="22"/>
          <w:szCs w:val="22"/>
        </w:rPr>
        <w:t>.2017</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686750" w:rsidRPr="0001760C" w:rsidRDefault="00250316" w:rsidP="0001760C">
      <w:pPr>
        <w:pStyle w:val="Bod1"/>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w:t>
      </w:r>
      <w:r w:rsidR="00686750">
        <w:t xml:space="preserve"> písemně</w:t>
      </w:r>
      <w:r w:rsidR="00882E39" w:rsidRPr="00C1048B">
        <w:t xml:space="preserve">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r w:rsidR="0001760C">
        <w:t xml:space="preserve"> </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r w:rsidR="00686750">
        <w:t xml:space="preserve"> </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Default="00250316" w:rsidP="00E52341">
      <w:pPr>
        <w:pStyle w:val="Bod1"/>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22740F" w:rsidRDefault="0022740F" w:rsidP="00E52341">
      <w:pPr>
        <w:pStyle w:val="Bod1"/>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CA6CEB">
        <w:t xml:space="preserve">1.3.2017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1B01CC"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CA6CEB">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1B01CC">
        <w:rPr>
          <w:rFonts w:asciiTheme="minorHAnsi" w:hAnsiTheme="minorHAnsi"/>
          <w:i/>
          <w:iCs/>
          <w:sz w:val="22"/>
          <w:szCs w:val="22"/>
        </w:rPr>
        <w:t>……………………………………………………………….</w:t>
      </w:r>
      <w:r w:rsidR="00CA6CEB">
        <w:rPr>
          <w:rFonts w:asciiTheme="minorHAnsi" w:hAnsiTheme="minorHAnsi"/>
          <w:i/>
          <w:iCs/>
          <w:sz w:val="22"/>
          <w:szCs w:val="22"/>
        </w:rPr>
        <w:t>korunčeských</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8A6AA7" w:rsidRDefault="00584DCE" w:rsidP="00567849">
      <w:pPr>
        <w:pStyle w:val="Bod1"/>
        <w:rPr>
          <w:i/>
        </w:rPr>
      </w:pPr>
      <w:r w:rsidRPr="00C1048B">
        <w:t>5.2</w:t>
      </w:r>
      <w:r w:rsidRPr="00C1048B">
        <w:tab/>
        <w:t>Rekapitulace ceny:</w:t>
      </w:r>
      <w:r w:rsidR="008A6AA7">
        <w:t xml:space="preserve"> </w:t>
      </w:r>
      <w:r w:rsidR="008A6AA7" w:rsidRPr="008A6AA7">
        <w:rPr>
          <w:i/>
        </w:rPr>
        <w:t>(doplnit</w:t>
      </w:r>
      <w:r w:rsidR="00A82A81">
        <w:rPr>
          <w:i/>
        </w:rPr>
        <w:t xml:space="preserve"> název prvku+cena+cena za montáž</w:t>
      </w:r>
      <w:r w:rsidR="008A6AA7" w:rsidRPr="008A6AA7">
        <w:rPr>
          <w:i/>
        </w:rPr>
        <w:t>)</w:t>
      </w:r>
      <w:bookmarkStart w:id="0" w:name="_GoBack"/>
      <w:bookmarkEnd w:id="0"/>
    </w:p>
    <w:p w:rsidR="008567C7" w:rsidRDefault="008567C7" w:rsidP="00CA6CEB">
      <w:pPr>
        <w:autoSpaceDE w:val="0"/>
        <w:autoSpaceDN w:val="0"/>
        <w:adjustRightInd w:val="0"/>
        <w:rPr>
          <w:rFonts w:ascii="TT622o00" w:hAnsi="TT622o00" w:cs="TT622o00"/>
          <w:sz w:val="18"/>
          <w:szCs w:val="18"/>
        </w:rPr>
      </w:pPr>
    </w:p>
    <w:p w:rsidR="001B01CC" w:rsidRDefault="001B01CC" w:rsidP="001B01CC">
      <w:pPr>
        <w:pStyle w:val="Bod1"/>
        <w:numPr>
          <w:ilvl w:val="0"/>
          <w:numId w:val="22"/>
        </w:numPr>
      </w:pPr>
      <w:r>
        <w:t>Kerhartice</w:t>
      </w:r>
    </w:p>
    <w:p w:rsidR="001B01CC" w:rsidRDefault="00A70933" w:rsidP="001B01CC">
      <w:pPr>
        <w:pStyle w:val="Bod1"/>
        <w:ind w:left="360" w:firstLine="0"/>
      </w:pPr>
      <w:r>
        <w:t>A.1)</w:t>
      </w:r>
    </w:p>
    <w:p w:rsidR="00A70933" w:rsidRDefault="00A70933" w:rsidP="001B01CC">
      <w:pPr>
        <w:pStyle w:val="Bod1"/>
        <w:ind w:left="360" w:firstLine="0"/>
      </w:pPr>
      <w:r>
        <w:t>Montáž</w:t>
      </w:r>
    </w:p>
    <w:p w:rsidR="00A70933" w:rsidRDefault="00A70933" w:rsidP="001B01CC">
      <w:pPr>
        <w:pStyle w:val="Bod1"/>
        <w:ind w:left="360" w:firstLine="0"/>
      </w:pPr>
      <w:r>
        <w:t xml:space="preserve">Celkem </w:t>
      </w:r>
    </w:p>
    <w:p w:rsidR="00A63814" w:rsidRDefault="00A63814" w:rsidP="001B01CC">
      <w:pPr>
        <w:pStyle w:val="Bod1"/>
        <w:ind w:left="360" w:firstLine="0"/>
      </w:pPr>
    </w:p>
    <w:p w:rsidR="001B01CC" w:rsidRDefault="001B01CC" w:rsidP="001B01CC">
      <w:pPr>
        <w:pStyle w:val="Bod1"/>
        <w:ind w:left="360" w:firstLine="0"/>
      </w:pPr>
      <w:r>
        <w:t>B) Park Čs. Legií</w:t>
      </w:r>
    </w:p>
    <w:p w:rsidR="001B01CC" w:rsidRDefault="001B01CC" w:rsidP="001B01CC">
      <w:pPr>
        <w:pStyle w:val="Bod1"/>
        <w:ind w:left="360" w:firstLine="0"/>
      </w:pPr>
      <w:r>
        <w:t>B.1)</w:t>
      </w:r>
    </w:p>
    <w:p w:rsidR="00A70933" w:rsidRDefault="00A70933" w:rsidP="001B01CC">
      <w:pPr>
        <w:pStyle w:val="Bod1"/>
        <w:ind w:left="360" w:firstLine="0"/>
      </w:pPr>
      <w:r>
        <w:t>Montáž</w:t>
      </w:r>
    </w:p>
    <w:p w:rsidR="00A70933" w:rsidRDefault="00A70933" w:rsidP="001B01CC">
      <w:pPr>
        <w:pStyle w:val="Bod1"/>
        <w:ind w:left="360" w:firstLine="0"/>
      </w:pPr>
      <w:r>
        <w:t>celkem</w:t>
      </w:r>
    </w:p>
    <w:p w:rsidR="00A63814" w:rsidRDefault="00A63814" w:rsidP="001B01CC">
      <w:pPr>
        <w:pStyle w:val="Bod1"/>
        <w:ind w:left="360" w:firstLine="0"/>
      </w:pPr>
    </w:p>
    <w:p w:rsidR="001B01CC" w:rsidRDefault="001B01CC" w:rsidP="001B01CC">
      <w:pPr>
        <w:pStyle w:val="Bod1"/>
        <w:ind w:left="360" w:firstLine="0"/>
      </w:pPr>
      <w:r>
        <w:t>C) Hylváty</w:t>
      </w:r>
    </w:p>
    <w:p w:rsidR="001B01CC" w:rsidRDefault="001B01CC" w:rsidP="001B01CC">
      <w:pPr>
        <w:pStyle w:val="Bod1"/>
        <w:ind w:left="360" w:firstLine="0"/>
      </w:pPr>
      <w:r>
        <w:t>1. lokalita (za č.p. 450)</w:t>
      </w:r>
    </w:p>
    <w:p w:rsidR="001B01CC" w:rsidRDefault="001B01CC" w:rsidP="001B01CC">
      <w:pPr>
        <w:pStyle w:val="Bod1"/>
        <w:ind w:left="360" w:firstLine="0"/>
      </w:pPr>
      <w:r>
        <w:t>C.1.1)</w:t>
      </w:r>
    </w:p>
    <w:p w:rsidR="00A70933" w:rsidRDefault="00A70933" w:rsidP="001B01CC">
      <w:pPr>
        <w:pStyle w:val="Bod1"/>
        <w:ind w:left="360" w:firstLine="0"/>
      </w:pPr>
      <w:r>
        <w:t>montáž</w:t>
      </w:r>
    </w:p>
    <w:p w:rsidR="001B01CC" w:rsidRDefault="001B01CC" w:rsidP="001B01CC">
      <w:pPr>
        <w:pStyle w:val="Bod1"/>
        <w:ind w:left="360" w:firstLine="0"/>
      </w:pPr>
      <w:r>
        <w:t>C.1.2)</w:t>
      </w:r>
    </w:p>
    <w:p w:rsidR="00A70933" w:rsidRDefault="00A70933" w:rsidP="001B01CC">
      <w:pPr>
        <w:pStyle w:val="Bod1"/>
        <w:ind w:left="360" w:firstLine="0"/>
      </w:pPr>
      <w:r>
        <w:t>montáž</w:t>
      </w:r>
    </w:p>
    <w:p w:rsidR="001B01CC" w:rsidRDefault="001B01CC" w:rsidP="001B01CC">
      <w:pPr>
        <w:pStyle w:val="Bod1"/>
        <w:ind w:left="360" w:firstLine="0"/>
      </w:pPr>
      <w:r>
        <w:t>C.1.3)</w:t>
      </w:r>
    </w:p>
    <w:p w:rsidR="00A70933" w:rsidRDefault="00A70933" w:rsidP="001B01CC">
      <w:pPr>
        <w:pStyle w:val="Bod1"/>
        <w:ind w:left="360" w:firstLine="0"/>
      </w:pPr>
      <w:r>
        <w:t>montáž</w:t>
      </w:r>
    </w:p>
    <w:p w:rsidR="001B01CC" w:rsidRDefault="001B01CC" w:rsidP="001B01CC">
      <w:pPr>
        <w:pStyle w:val="Bod1"/>
        <w:ind w:left="360" w:firstLine="0"/>
      </w:pPr>
      <w:r>
        <w:t>C.1.4)</w:t>
      </w:r>
    </w:p>
    <w:p w:rsidR="00A70933" w:rsidRDefault="00A70933" w:rsidP="001B01CC">
      <w:pPr>
        <w:pStyle w:val="Bod1"/>
        <w:ind w:left="360" w:firstLine="0"/>
      </w:pPr>
      <w:r>
        <w:t>montáž</w:t>
      </w:r>
    </w:p>
    <w:p w:rsidR="001B01CC" w:rsidRDefault="001B01CC" w:rsidP="001B01CC">
      <w:pPr>
        <w:pStyle w:val="Bod1"/>
        <w:ind w:left="360" w:firstLine="0"/>
      </w:pPr>
      <w:r>
        <w:t>C.1.5)</w:t>
      </w:r>
    </w:p>
    <w:p w:rsidR="00A70933" w:rsidRDefault="00A70933" w:rsidP="001B01CC">
      <w:pPr>
        <w:pStyle w:val="Bod1"/>
        <w:ind w:left="360" w:firstLine="0"/>
      </w:pPr>
      <w:r>
        <w:t>montáž</w:t>
      </w:r>
    </w:p>
    <w:p w:rsidR="001B01CC" w:rsidRDefault="001B01CC" w:rsidP="001B01CC">
      <w:pPr>
        <w:pStyle w:val="Bod1"/>
        <w:ind w:left="360" w:firstLine="0"/>
      </w:pPr>
      <w:r>
        <w:t>2. lokalita (za č.p. 445)</w:t>
      </w:r>
    </w:p>
    <w:p w:rsidR="001B01CC" w:rsidRDefault="001B01CC" w:rsidP="001B01CC">
      <w:pPr>
        <w:pStyle w:val="Bod1"/>
        <w:ind w:left="360" w:firstLine="0"/>
      </w:pPr>
      <w:r>
        <w:t>C.2.1)</w:t>
      </w:r>
    </w:p>
    <w:p w:rsidR="00A70933" w:rsidRDefault="00A70933" w:rsidP="001B01CC">
      <w:pPr>
        <w:pStyle w:val="Bod1"/>
        <w:ind w:left="360" w:firstLine="0"/>
      </w:pPr>
      <w:r>
        <w:t>montáž</w:t>
      </w:r>
    </w:p>
    <w:p w:rsidR="001B01CC" w:rsidRDefault="001B01CC" w:rsidP="001B01CC">
      <w:pPr>
        <w:pStyle w:val="Bod1"/>
        <w:ind w:left="360" w:firstLine="0"/>
      </w:pPr>
      <w:r>
        <w:t>C.2.2)</w:t>
      </w:r>
    </w:p>
    <w:p w:rsidR="00A70933" w:rsidRDefault="00A70933" w:rsidP="001B01CC">
      <w:pPr>
        <w:pStyle w:val="Bod1"/>
        <w:ind w:left="360" w:firstLine="0"/>
      </w:pPr>
      <w:r>
        <w:t>montáž</w:t>
      </w:r>
    </w:p>
    <w:p w:rsidR="001B01CC" w:rsidRDefault="001B01CC" w:rsidP="001B01CC">
      <w:pPr>
        <w:pStyle w:val="Bod1"/>
        <w:ind w:left="360" w:firstLine="0"/>
      </w:pPr>
      <w:r>
        <w:t>C.2.3)</w:t>
      </w:r>
    </w:p>
    <w:p w:rsidR="00A70933" w:rsidRDefault="00A70933" w:rsidP="001B01CC">
      <w:pPr>
        <w:pStyle w:val="Bod1"/>
        <w:ind w:left="360" w:firstLine="0"/>
      </w:pPr>
      <w:r>
        <w:t>montáž</w:t>
      </w:r>
    </w:p>
    <w:p w:rsidR="001B01CC" w:rsidRDefault="001B01CC" w:rsidP="001B01CC">
      <w:pPr>
        <w:pStyle w:val="Bod1"/>
        <w:ind w:left="360" w:firstLine="0"/>
      </w:pPr>
      <w:r>
        <w:t>C.2.4)</w:t>
      </w:r>
    </w:p>
    <w:p w:rsidR="00A70933" w:rsidRDefault="00A70933" w:rsidP="001B01CC">
      <w:pPr>
        <w:pStyle w:val="Bod1"/>
        <w:ind w:left="360" w:firstLine="0"/>
      </w:pPr>
      <w:r>
        <w:t>montáž</w:t>
      </w:r>
    </w:p>
    <w:p w:rsidR="001B01CC" w:rsidRDefault="001B01CC" w:rsidP="001B01CC">
      <w:pPr>
        <w:pStyle w:val="Bod1"/>
        <w:ind w:left="360" w:firstLine="0"/>
      </w:pPr>
      <w:r>
        <w:t>3. lokalita (kolem č.p. 409, 410)</w:t>
      </w:r>
    </w:p>
    <w:p w:rsidR="001B01CC" w:rsidRDefault="001B01CC" w:rsidP="001B01CC">
      <w:pPr>
        <w:pStyle w:val="Bod1"/>
        <w:ind w:left="360" w:firstLine="0"/>
      </w:pPr>
      <w:r>
        <w:t>C.3.1)</w:t>
      </w:r>
    </w:p>
    <w:p w:rsidR="00A70933" w:rsidRDefault="00A70933" w:rsidP="001B01CC">
      <w:pPr>
        <w:pStyle w:val="Bod1"/>
        <w:ind w:left="360" w:firstLine="0"/>
      </w:pPr>
      <w:r>
        <w:t>montáž</w:t>
      </w:r>
    </w:p>
    <w:p w:rsidR="001B01CC" w:rsidRDefault="001B01CC" w:rsidP="001B01CC">
      <w:pPr>
        <w:pStyle w:val="Bod1"/>
        <w:ind w:left="360" w:firstLine="0"/>
      </w:pPr>
      <w:r>
        <w:t>C.3.2)</w:t>
      </w:r>
    </w:p>
    <w:p w:rsidR="00A70933" w:rsidRDefault="00A70933" w:rsidP="001B01CC">
      <w:pPr>
        <w:pStyle w:val="Bod1"/>
        <w:ind w:left="360" w:firstLine="0"/>
      </w:pPr>
      <w:r>
        <w:t>montáž</w:t>
      </w:r>
    </w:p>
    <w:p w:rsidR="001B01CC" w:rsidRDefault="001B01CC" w:rsidP="001B01CC">
      <w:pPr>
        <w:pStyle w:val="Bod1"/>
        <w:ind w:left="360" w:firstLine="0"/>
      </w:pPr>
      <w:r>
        <w:t>C.3.3)</w:t>
      </w:r>
    </w:p>
    <w:p w:rsidR="00A70933" w:rsidRDefault="00A70933" w:rsidP="001B01CC">
      <w:pPr>
        <w:pStyle w:val="Bod1"/>
        <w:ind w:left="360" w:firstLine="0"/>
      </w:pPr>
      <w:r>
        <w:t>Montáž</w:t>
      </w:r>
    </w:p>
    <w:p w:rsidR="00A70933" w:rsidRDefault="00A70933" w:rsidP="001B01CC">
      <w:pPr>
        <w:pStyle w:val="Bod1"/>
        <w:ind w:left="360" w:firstLine="0"/>
      </w:pPr>
      <w:r>
        <w:t>celkem</w:t>
      </w:r>
    </w:p>
    <w:p w:rsidR="00D66C86" w:rsidRDefault="00D66C86"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p>
    <w:p w:rsidR="00993011" w:rsidRDefault="008C4F12"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F227C1">
        <w:rPr>
          <w:rFonts w:asciiTheme="minorHAnsi" w:hAnsiTheme="minorHAnsi"/>
          <w:iCs/>
          <w:sz w:val="22"/>
          <w:szCs w:val="22"/>
        </w:rPr>
        <w:t xml:space="preserve">Doprava </w:t>
      </w:r>
      <w:r w:rsidR="00993011" w:rsidRPr="00C1048B">
        <w:rPr>
          <w:rFonts w:asciiTheme="minorHAnsi" w:hAnsiTheme="minorHAnsi"/>
          <w:iCs/>
          <w:sz w:val="22"/>
          <w:szCs w:val="22"/>
        </w:rPr>
        <w:tab/>
        <w:t>Kč</w:t>
      </w:r>
    </w:p>
    <w:p w:rsidR="00C62F24" w:rsidRPr="00C1048B" w:rsidRDefault="00C62F24"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Pr>
          <w:rFonts w:asciiTheme="minorHAnsi" w:hAnsiTheme="minorHAnsi"/>
          <w:iCs/>
          <w:sz w:val="22"/>
          <w:szCs w:val="22"/>
        </w:rPr>
        <w:t>Terénní úpravy                                                                                                                        Kč</w:t>
      </w: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F227C1">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t>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F227C1">
        <w:rPr>
          <w:color w:val="auto"/>
        </w:rPr>
        <w:t xml:space="preserve">Vzhledem k tomu, že smluvené práce nepodléhají přenesení daňové povinnosti u stavebních prací podle § 92e zákona č. 235/2004 Sb., o dani z přidané hodnoty, ve znění pozdějších </w:t>
      </w:r>
      <w:r w:rsidR="00875826" w:rsidRPr="00F227C1">
        <w:rPr>
          <w:color w:val="auto"/>
        </w:rPr>
        <w:lastRenderedPageBreak/>
        <w:t xml:space="preserve">předpisů, bude </w:t>
      </w:r>
      <w:r w:rsidR="00875826" w:rsidRPr="00C1048B">
        <w:t>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5E2708" w:rsidRDefault="00512B2D" w:rsidP="00C62F24">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5E2708" w:rsidRDefault="005E2708" w:rsidP="00567849">
      <w:pPr>
        <w:pStyle w:val="Bod1"/>
      </w:pPr>
    </w:p>
    <w:p w:rsidR="005E2708" w:rsidRDefault="00C62F24" w:rsidP="00567849">
      <w:pPr>
        <w:pStyle w:val="Bod1"/>
      </w:pPr>
      <w:r>
        <w:t>5.5</w:t>
      </w:r>
      <w:r w:rsidR="005E2708">
        <w:tab/>
        <w:t>Zhotovitel není oprávněn účtovat vícepráce nad rámec stanovené ceny, nedohodnou-li se smluvní strany jinak.</w:t>
      </w:r>
    </w:p>
    <w:p w:rsidR="005E2708" w:rsidRDefault="005E2708" w:rsidP="00567849">
      <w:pPr>
        <w:pStyle w:val="Bod1"/>
      </w:pPr>
    </w:p>
    <w:p w:rsidR="005E2708" w:rsidRDefault="00C62F24" w:rsidP="00567849">
      <w:pPr>
        <w:pStyle w:val="Bod1"/>
      </w:pPr>
      <w:r>
        <w:t>5.6</w:t>
      </w:r>
      <w:r w:rsidR="005E2708">
        <w:tab/>
        <w:t>V nabídce Zhotovitele je kalkulováno s běžným podložím v místě realizace</w:t>
      </w:r>
      <w:r w:rsidR="000E6153">
        <w:t>, tj. s běžnou zeminou.</w:t>
      </w:r>
    </w:p>
    <w:p w:rsidR="000E6153" w:rsidRPr="00C1048B" w:rsidRDefault="000E6153" w:rsidP="00567849">
      <w:pPr>
        <w:pStyle w:val="Bod1"/>
      </w:pPr>
      <w:r>
        <w:tab/>
        <w:t xml:space="preserve"> </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D57CE5" w:rsidRDefault="00D57CE5" w:rsidP="008B25D9">
      <w:pPr>
        <w:pStyle w:val="Bod1"/>
      </w:pPr>
    </w:p>
    <w:p w:rsidR="00D57CE5" w:rsidRDefault="00D57CE5" w:rsidP="008B25D9">
      <w:pPr>
        <w:pStyle w:val="Bod1"/>
      </w:pPr>
      <w:r>
        <w:t xml:space="preserve">6.4 </w:t>
      </w:r>
      <w:r>
        <w:tab/>
        <w:t>Podkladem pro fakturaci bude Objednatelem potvrzený předávací protokol o řádném dokončení a předání díla Objednateli.</w:t>
      </w:r>
    </w:p>
    <w:p w:rsidR="00D57CE5" w:rsidRDefault="00D57CE5" w:rsidP="008B25D9">
      <w:pPr>
        <w:pStyle w:val="Bod1"/>
      </w:pPr>
    </w:p>
    <w:p w:rsidR="00D57CE5" w:rsidRPr="00C1048B" w:rsidRDefault="00D57CE5" w:rsidP="008B25D9">
      <w:pPr>
        <w:pStyle w:val="Bod1"/>
      </w:pPr>
      <w:r>
        <w:t>6.5</w:t>
      </w:r>
      <w:r>
        <w:tab/>
        <w:t>Veškeré vícepráce je možné provádět jen na základě písemných vzájemně odsouhlasených dodatků k této smlouvě. Součástí těchto dodatků musí být kalkulace cen.</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lastRenderedPageBreak/>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71DEC" w:rsidRDefault="00FE34C7" w:rsidP="00C72E43">
      <w:pPr>
        <w:pStyle w:val="Bod1"/>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w:t>
      </w:r>
      <w:r w:rsidR="00871DEC">
        <w:t xml:space="preserve">. </w:t>
      </w:r>
    </w:p>
    <w:p w:rsidR="00871DEC" w:rsidRDefault="00871DEC" w:rsidP="00871DEC">
      <w:pPr>
        <w:pStyle w:val="Bod1"/>
        <w:ind w:firstLine="0"/>
      </w:pPr>
      <w:r>
        <w:t>Záruka na jednotlivé herní prvky je následující:</w:t>
      </w:r>
    </w:p>
    <w:p w:rsidR="00871DEC" w:rsidRPr="003C14D0" w:rsidRDefault="00871DEC" w:rsidP="00871DEC">
      <w:pPr>
        <w:pStyle w:val="Bod1"/>
        <w:numPr>
          <w:ilvl w:val="0"/>
          <w:numId w:val="18"/>
        </w:numPr>
        <w:rPr>
          <w:b/>
          <w:i/>
        </w:rPr>
      </w:pPr>
      <w:r>
        <w:t>120 měsíců záruka na plastové díly jako např. bariéry, těla pružinových houpadel, čela skluzavek apod., které jsou vyrobeny z</w:t>
      </w:r>
      <w:r w:rsidR="003C14D0">
        <w:t> </w:t>
      </w:r>
      <w:r>
        <w:t>vysokotlakého</w:t>
      </w:r>
      <w:r w:rsidR="003C14D0">
        <w:t xml:space="preserve"> celoprobarveného polyetylenu.</w:t>
      </w:r>
    </w:p>
    <w:p w:rsidR="003C14D0" w:rsidRPr="003C14D0" w:rsidRDefault="003C14D0" w:rsidP="00871DEC">
      <w:pPr>
        <w:pStyle w:val="Bod1"/>
        <w:numPr>
          <w:ilvl w:val="0"/>
          <w:numId w:val="18"/>
        </w:numPr>
        <w:rPr>
          <w:b/>
          <w:i/>
        </w:rPr>
      </w:pPr>
      <w:r>
        <w:t>120 měsíců záruka na prohnití dřevěných částí.</w:t>
      </w:r>
    </w:p>
    <w:p w:rsidR="003C14D0" w:rsidRPr="003C14D0" w:rsidRDefault="003C14D0" w:rsidP="00871DEC">
      <w:pPr>
        <w:pStyle w:val="Bod1"/>
        <w:numPr>
          <w:ilvl w:val="0"/>
          <w:numId w:val="18"/>
        </w:numPr>
        <w:rPr>
          <w:b/>
          <w:i/>
        </w:rPr>
      </w:pPr>
      <w:r>
        <w:t>60 měsíců záruka na nosné části konstrukcí herních prvků.</w:t>
      </w:r>
    </w:p>
    <w:p w:rsidR="003C14D0" w:rsidRPr="00871DEC" w:rsidRDefault="003C14D0" w:rsidP="00871DEC">
      <w:pPr>
        <w:pStyle w:val="Bod1"/>
        <w:numPr>
          <w:ilvl w:val="0"/>
          <w:numId w:val="18"/>
        </w:numPr>
        <w:rPr>
          <w:b/>
          <w:i/>
        </w:rPr>
      </w:pPr>
      <w:r>
        <w:t>60 měsíců záruka na kovové části herních prvků.</w:t>
      </w:r>
    </w:p>
    <w:p w:rsidR="00871DEC" w:rsidRPr="00871DEC" w:rsidRDefault="003C14D0" w:rsidP="00871DEC">
      <w:pPr>
        <w:pStyle w:val="Bod1"/>
        <w:numPr>
          <w:ilvl w:val="0"/>
          <w:numId w:val="18"/>
        </w:numPr>
        <w:rPr>
          <w:b/>
          <w:i/>
        </w:rPr>
      </w:pPr>
      <w:r>
        <w:t>24 měsíců záruka na lakované a vrstvené materiály, skluzavky, pružiny, ložiska a na materiály jinde nejmenované.</w:t>
      </w:r>
    </w:p>
    <w:p w:rsidR="00871DEC" w:rsidRPr="00871DEC" w:rsidRDefault="003C14D0" w:rsidP="00871DEC">
      <w:pPr>
        <w:pStyle w:val="Bod1"/>
        <w:numPr>
          <w:ilvl w:val="0"/>
          <w:numId w:val="18"/>
        </w:numPr>
        <w:rPr>
          <w:b/>
          <w:i/>
        </w:rPr>
      </w:pPr>
      <w:r>
        <w:t>20 let záruka na nerezové konstrukce.</w:t>
      </w:r>
    </w:p>
    <w:p w:rsidR="00112E27" w:rsidRDefault="00112E27" w:rsidP="00112E27">
      <w:pPr>
        <w:pStyle w:val="Bod1"/>
      </w:pPr>
    </w:p>
    <w:p w:rsidR="00112E27" w:rsidRPr="00112E27" w:rsidRDefault="00112E27" w:rsidP="00112E27">
      <w:pPr>
        <w:pStyle w:val="Bod1"/>
        <w:numPr>
          <w:ilvl w:val="1"/>
          <w:numId w:val="20"/>
        </w:numPr>
        <w:rPr>
          <w:b/>
          <w:i/>
        </w:rPr>
      </w:pPr>
      <w:r>
        <w:t xml:space="preserve">    </w:t>
      </w:r>
      <w:r w:rsidR="00324EEF" w:rsidRPr="00C1048B">
        <w:t>Záruka začíná plynout ode dne předání</w:t>
      </w:r>
      <w:r w:rsidR="00B24832" w:rsidRPr="00C1048B">
        <w:t xml:space="preserve"> a převzetí </w:t>
      </w:r>
      <w:r w:rsidR="0032301A" w:rsidRPr="00C1048B">
        <w:t xml:space="preserve">předmětu této smlouvy bez vad a nedodělků </w:t>
      </w:r>
      <w:r>
        <w:t xml:space="preserve">    </w:t>
      </w:r>
    </w:p>
    <w:p w:rsidR="00112E27" w:rsidRDefault="00112E27" w:rsidP="00112E27">
      <w:pPr>
        <w:pStyle w:val="Bod1"/>
        <w:ind w:left="360" w:firstLine="0"/>
      </w:pPr>
      <w:r>
        <w:t xml:space="preserve">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 xml:space="preserve">případě </w:t>
      </w:r>
      <w:r>
        <w:t xml:space="preserve"> </w:t>
      </w:r>
    </w:p>
    <w:p w:rsidR="00882E39" w:rsidRDefault="00112E27" w:rsidP="00112E27">
      <w:pPr>
        <w:pStyle w:val="Bod1"/>
        <w:ind w:left="360" w:firstLine="0"/>
      </w:pPr>
      <w:r>
        <w:t xml:space="preserve">    </w:t>
      </w:r>
      <w:r w:rsidR="00324EEF" w:rsidRPr="00C1048B">
        <w:t>reklamace o počet dní, které uplynou od jejího nahlášení do odstranění vady.</w:t>
      </w:r>
    </w:p>
    <w:p w:rsidR="007B786D" w:rsidRDefault="007B786D" w:rsidP="00112E27">
      <w:pPr>
        <w:pStyle w:val="Bod1"/>
      </w:pPr>
    </w:p>
    <w:p w:rsidR="00112E27" w:rsidRDefault="00112E27" w:rsidP="007B786D">
      <w:pPr>
        <w:pStyle w:val="Bod1"/>
        <w:numPr>
          <w:ilvl w:val="1"/>
          <w:numId w:val="20"/>
        </w:numPr>
      </w:pPr>
      <w:r>
        <w:t>Podmínkou platnosti záruky je provádění pravidelné běžné uživatelské údržby herních prvků a jejich pří příslušenství v souladu s technickými podmínkami a používání originálních náhradních dílů specifikovaných Zhotovitelem.</w:t>
      </w:r>
    </w:p>
    <w:p w:rsidR="007B786D" w:rsidRDefault="007B786D" w:rsidP="007B786D">
      <w:pPr>
        <w:pStyle w:val="Bod1"/>
        <w:ind w:left="360" w:firstLine="0"/>
      </w:pPr>
    </w:p>
    <w:p w:rsidR="007B786D" w:rsidRDefault="007B786D" w:rsidP="00D730CA">
      <w:pPr>
        <w:pStyle w:val="Bod1"/>
        <w:numPr>
          <w:ilvl w:val="1"/>
          <w:numId w:val="20"/>
        </w:numPr>
      </w:pPr>
      <w:r>
        <w:t>Záruka se nevztahuje na vady vzniklé vandalstvím, cizí</w:t>
      </w:r>
      <w:r w:rsidR="00D730CA">
        <w:t>m zaviněním, násilným poškozením, nevhodnou údržbou, neodborným zacházením, použitím a instalací, které jsou v rozporu s technickými podmínkami, přirozeným opotřebením, nedodržením harmonogramu kontrol a následky živelných pohrom.</w:t>
      </w:r>
    </w:p>
    <w:p w:rsidR="00D730CA" w:rsidRDefault="00D730CA" w:rsidP="00D730CA">
      <w:pPr>
        <w:pStyle w:val="Odstavecseseznamem"/>
      </w:pPr>
    </w:p>
    <w:p w:rsidR="00D730CA" w:rsidRDefault="00D730CA" w:rsidP="00D730CA">
      <w:pPr>
        <w:pStyle w:val="Bod1"/>
        <w:numPr>
          <w:ilvl w:val="1"/>
          <w:numId w:val="20"/>
        </w:numPr>
      </w:pPr>
      <w:r>
        <w:t>Záruka se nevztahuje na obnovu povrchové úpravy dílů, ta se musí dle potřeby 1x za 24 měsíců obnovit.</w:t>
      </w:r>
    </w:p>
    <w:p w:rsidR="00D730CA" w:rsidRDefault="00D730CA" w:rsidP="00D730CA">
      <w:pPr>
        <w:pStyle w:val="Odstavecseseznamem"/>
      </w:pPr>
    </w:p>
    <w:p w:rsidR="00D730CA" w:rsidRDefault="00D730CA" w:rsidP="00D730CA">
      <w:pPr>
        <w:pStyle w:val="Bod1"/>
        <w:numPr>
          <w:ilvl w:val="1"/>
          <w:numId w:val="20"/>
        </w:numPr>
      </w:pPr>
      <w:r>
        <w:t>Záruka se nevztahuje na údržbu, úpravy a doplňování materiálu v dopadových plochách.</w:t>
      </w:r>
    </w:p>
    <w:p w:rsidR="00D730CA" w:rsidRDefault="00D730CA" w:rsidP="00D730CA">
      <w:pPr>
        <w:pStyle w:val="Odstavecseseznamem"/>
      </w:pPr>
    </w:p>
    <w:p w:rsidR="00D730CA" w:rsidRDefault="00D730CA" w:rsidP="00D730CA">
      <w:pPr>
        <w:pStyle w:val="Bod1"/>
        <w:numPr>
          <w:ilvl w:val="1"/>
          <w:numId w:val="20"/>
        </w:numPr>
      </w:pPr>
      <w:r>
        <w:t>Záruka zaniká v případě neoprávněného zásahu do herního prvku.</w:t>
      </w:r>
    </w:p>
    <w:p w:rsidR="00006482" w:rsidRDefault="00006482" w:rsidP="00006482">
      <w:pPr>
        <w:pStyle w:val="Odstavecseseznamem"/>
      </w:pPr>
    </w:p>
    <w:p w:rsidR="00006482" w:rsidRDefault="00006482" w:rsidP="00D730CA">
      <w:pPr>
        <w:pStyle w:val="Bod1"/>
        <w:numPr>
          <w:ilvl w:val="1"/>
          <w:numId w:val="20"/>
        </w:numPr>
      </w:pPr>
      <w:r>
        <w:t>Během záruční lhůty je Zhotovitel povinen bezplatně opravit vzniklé vady díla z titulu nekvalitně provedených prací nebo skrytých vad materiálu. Zhotovitel je oprávněn zvolit způsob opravy, a to buď výměnu, nebo opravu dílu.</w:t>
      </w:r>
    </w:p>
    <w:p w:rsidR="00882E39" w:rsidRPr="00C1048B" w:rsidRDefault="00882E39" w:rsidP="00112E27">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006482">
        <w:t>10</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006482">
        <w:t>11</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w:t>
      </w:r>
      <w:r w:rsidR="00006482">
        <w:t>12</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006482">
        <w:t>13</w:t>
      </w:r>
      <w:r w:rsidRPr="00C1048B">
        <w:tab/>
        <w:t>Zhotovitel je povinen nejpozději do 5 dnů po obdržení reklamace písemně oznámit objednateli, zda reklamaci uznává či neuznává. Pokud tak neučiní, má se za to, že reklamaci objednatele uznává.</w:t>
      </w:r>
    </w:p>
    <w:p w:rsidR="00152305" w:rsidRDefault="00152305" w:rsidP="00C72E43">
      <w:pPr>
        <w:pStyle w:val="Bod1"/>
      </w:pPr>
    </w:p>
    <w:p w:rsidR="00006482" w:rsidRPr="00F12949" w:rsidRDefault="00006482" w:rsidP="00006482">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III</w:t>
      </w:r>
      <w:r w:rsidRPr="00F12949">
        <w:rPr>
          <w:rFonts w:asciiTheme="minorHAnsi" w:hAnsiTheme="minorHAnsi"/>
          <w:iCs/>
          <w:sz w:val="28"/>
          <w:szCs w:val="28"/>
        </w:rPr>
        <w:t>.</w:t>
      </w:r>
    </w:p>
    <w:p w:rsidR="00006482" w:rsidRDefault="00006482" w:rsidP="00006482">
      <w:pPr>
        <w:widowControl w:val="0"/>
        <w:spacing w:after="120"/>
        <w:jc w:val="center"/>
        <w:rPr>
          <w:rFonts w:asciiTheme="minorHAnsi" w:hAnsiTheme="minorHAnsi"/>
          <w:iCs/>
          <w:caps/>
          <w:sz w:val="28"/>
          <w:szCs w:val="28"/>
        </w:rPr>
      </w:pPr>
      <w:r>
        <w:rPr>
          <w:rFonts w:asciiTheme="minorHAnsi" w:hAnsiTheme="minorHAnsi"/>
          <w:iCs/>
          <w:caps/>
          <w:sz w:val="28"/>
          <w:szCs w:val="28"/>
        </w:rPr>
        <w:t>VYŠŠÍ MOC</w:t>
      </w:r>
    </w:p>
    <w:p w:rsidR="00006482" w:rsidRDefault="00006482" w:rsidP="00006482">
      <w:pPr>
        <w:widowControl w:val="0"/>
        <w:spacing w:after="120"/>
        <w:jc w:val="both"/>
        <w:rPr>
          <w:rFonts w:asciiTheme="minorHAnsi" w:hAnsiTheme="minorHAnsi"/>
          <w:sz w:val="22"/>
          <w:szCs w:val="22"/>
        </w:rPr>
      </w:pPr>
      <w:r w:rsidRPr="00006482">
        <w:rPr>
          <w:rFonts w:asciiTheme="minorHAnsi" w:hAnsiTheme="minorHAnsi"/>
          <w:sz w:val="22"/>
          <w:szCs w:val="22"/>
        </w:rPr>
        <w:t>8.1</w:t>
      </w:r>
      <w:r w:rsidRPr="00006482">
        <w:rPr>
          <w:rFonts w:asciiTheme="minorHAnsi" w:hAnsiTheme="minorHAnsi"/>
          <w:sz w:val="22"/>
          <w:szCs w:val="22"/>
        </w:rPr>
        <w:tab/>
      </w:r>
      <w:r>
        <w:rPr>
          <w:rFonts w:asciiTheme="minorHAnsi" w:hAnsiTheme="minorHAnsi"/>
          <w:sz w:val="22"/>
          <w:szCs w:val="22"/>
        </w:rPr>
        <w:t>Pro účely této smlouvy se za vyšší moc považují případy, které nejsou závislé na smluvních stranách a které smluvní strany nemohou ovlivnit. Jedná se např. o válku, mobilizaci, povstání, živelné pohromy spod.</w:t>
      </w:r>
    </w:p>
    <w:p w:rsidR="00006482" w:rsidRPr="00006482" w:rsidRDefault="00006482" w:rsidP="00006482">
      <w:pPr>
        <w:widowControl w:val="0"/>
        <w:spacing w:after="120"/>
        <w:jc w:val="both"/>
        <w:rPr>
          <w:rFonts w:asciiTheme="minorHAnsi" w:hAnsiTheme="minorHAnsi"/>
          <w:iCs/>
          <w:caps/>
          <w:sz w:val="22"/>
          <w:szCs w:val="22"/>
        </w:rPr>
      </w:pPr>
      <w:r>
        <w:rPr>
          <w:rFonts w:asciiTheme="minorHAnsi" w:hAnsiTheme="minorHAnsi"/>
          <w:sz w:val="22"/>
          <w:szCs w:val="22"/>
        </w:rPr>
        <w:t>8.2</w:t>
      </w:r>
      <w:r>
        <w:rPr>
          <w:rFonts w:asciiTheme="minorHAnsi" w:hAnsiTheme="minorHAnsi"/>
          <w:sz w:val="22"/>
          <w:szCs w:val="22"/>
        </w:rPr>
        <w:tab/>
      </w:r>
      <w:r w:rsidR="0052414B">
        <w:rPr>
          <w:rFonts w:asciiTheme="minorHAnsi" w:hAnsiTheme="minorHAnsi"/>
          <w:sz w:val="22"/>
          <w:szCs w:val="22"/>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rsidR="00006482" w:rsidRPr="00C1048B" w:rsidRDefault="00006482" w:rsidP="00C72E43">
      <w:pPr>
        <w:pStyle w:val="Bod1"/>
      </w:pPr>
    </w:p>
    <w:p w:rsidR="00C72E43" w:rsidRPr="00F12949" w:rsidRDefault="00F345DA" w:rsidP="00C72E43">
      <w:pPr>
        <w:widowControl w:val="0"/>
        <w:jc w:val="center"/>
        <w:rPr>
          <w:rFonts w:asciiTheme="minorHAnsi" w:hAnsiTheme="minorHAnsi"/>
          <w:iCs/>
          <w:sz w:val="28"/>
          <w:szCs w:val="28"/>
        </w:rPr>
      </w:pPr>
      <w:r>
        <w:rPr>
          <w:rFonts w:asciiTheme="minorHAnsi" w:hAnsiTheme="minorHAnsi"/>
          <w:iCs/>
          <w:sz w:val="28"/>
          <w:szCs w:val="28"/>
        </w:rPr>
        <w:t>IX</w:t>
      </w:r>
      <w:r w:rsidR="00C72E43"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F345DA" w:rsidP="00C72E43">
      <w:pPr>
        <w:pStyle w:val="Bod1"/>
        <w:rPr>
          <w:b/>
          <w:i/>
        </w:rPr>
      </w:pPr>
      <w:r>
        <w:t>9</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345DA" w:rsidP="00C72E43">
      <w:pPr>
        <w:pStyle w:val="Bod1"/>
      </w:pPr>
      <w:r>
        <w:t>9</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F345DA" w:rsidP="00C72E43">
      <w:pPr>
        <w:pStyle w:val="Bod1"/>
      </w:pPr>
      <w:r>
        <w:t>9</w:t>
      </w:r>
      <w:r w:rsidR="00C72E43">
        <w:t>.3</w:t>
      </w:r>
      <w:r w:rsidR="00C72E43">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.4</w:t>
      </w:r>
      <w:r w:rsidR="006343B1" w:rsidRPr="00C1048B">
        <w:tab/>
        <w:t>Zhotovitel je povinen zajistit před zahájením prací vyplývajících z této smlouvy vytyčení inženýrských sítí</w:t>
      </w:r>
      <w:r w:rsidR="00C87048" w:rsidRPr="00C1048B">
        <w:t xml:space="preserve"> a v případě potřeby jejich ochranu</w:t>
      </w:r>
      <w:r w:rsidR="006343B1"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.5</w:t>
      </w:r>
      <w:r w:rsidR="006343B1" w:rsidRPr="00C1048B">
        <w:tab/>
        <w:t>Zhotovitel zabezpečí na své náklady dopravu a skladování všech materiálů,</w:t>
      </w:r>
      <w:r w:rsidR="004D4156" w:rsidRPr="00C1048B">
        <w:t xml:space="preserve"> </w:t>
      </w:r>
      <w:r w:rsidR="006343B1" w:rsidRPr="00C1048B">
        <w:t>stavebních hmot a dílců, výrobků, strojů a zařízení a jejich přesun ze skladu na</w:t>
      </w:r>
      <w:r w:rsidR="004D4156" w:rsidRPr="00C1048B">
        <w:t xml:space="preserve"> </w:t>
      </w:r>
      <w:r w:rsidR="006343B1" w:rsidRPr="00C1048B">
        <w:t>staveniště. Skladování materiálů na staveništi zabezpečí zhotovitel tak, aby nedošlo k</w:t>
      </w:r>
      <w:r w:rsidR="004D4156" w:rsidRPr="00C1048B">
        <w:t xml:space="preserve"> </w:t>
      </w:r>
      <w:r w:rsidR="006343B1" w:rsidRPr="00C1048B">
        <w:t>omezení užívání sousedních</w:t>
      </w:r>
      <w:r w:rsidR="00946353" w:rsidRPr="00C1048B">
        <w:t xml:space="preserve"> </w:t>
      </w:r>
      <w:r w:rsidR="006343B1"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.6</w:t>
      </w:r>
      <w:r w:rsidR="006343B1"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.7</w:t>
      </w:r>
      <w:r w:rsidR="006343B1" w:rsidRPr="00C1048B">
        <w:tab/>
        <w:t>Zhotovitel odpovídá za čistotu a pořádek na staveništi. Zhotovitel odstraní na vlastní</w:t>
      </w:r>
      <w:r w:rsidR="004D4156" w:rsidRPr="00C1048B">
        <w:t xml:space="preserve"> </w:t>
      </w:r>
      <w:r w:rsidR="006343B1"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A6CEB" w:rsidRDefault="00F345DA" w:rsidP="00C72E43">
      <w:pPr>
        <w:pStyle w:val="Bod1"/>
        <w:rPr>
          <w:color w:val="auto"/>
        </w:rPr>
      </w:pPr>
      <w:r>
        <w:t>9</w:t>
      </w:r>
      <w:r w:rsidR="006343B1" w:rsidRPr="00C1048B">
        <w:t>.8</w:t>
      </w:r>
      <w:r w:rsidR="006343B1" w:rsidRPr="00C1048B">
        <w:tab/>
      </w:r>
      <w:r w:rsidR="006343B1" w:rsidRPr="00CA6CEB">
        <w:rPr>
          <w:color w:val="auto"/>
        </w:rPr>
        <w:t xml:space="preserve">Objednatel se zavazuje provádět technický dozor. </w:t>
      </w:r>
      <w:r w:rsidR="006343B1" w:rsidRPr="00CA6CEB">
        <w:rPr>
          <w:bCs/>
          <w:color w:val="auto"/>
        </w:rPr>
        <w:t>Technickým</w:t>
      </w:r>
      <w:r w:rsidR="007F7C57" w:rsidRPr="00CA6CEB">
        <w:rPr>
          <w:bCs/>
          <w:color w:val="auto"/>
        </w:rPr>
        <w:t xml:space="preserve"> dozorem objednatele je pověřena Ing. Jana Nováčková, </w:t>
      </w:r>
      <w:r w:rsidR="00CA6CEB" w:rsidRPr="00CA6CEB">
        <w:rPr>
          <w:color w:val="auto"/>
        </w:rPr>
        <w:t xml:space="preserve">referent odboru rozvoje města MěÚ Ústí nad Orlicí, </w:t>
      </w:r>
      <w:r w:rsidR="007F7C57" w:rsidRPr="00CA6CEB">
        <w:rPr>
          <w:bCs/>
          <w:color w:val="auto"/>
        </w:rPr>
        <w:t xml:space="preserve">email: </w:t>
      </w:r>
      <w:hyperlink r:id="rId8" w:history="1">
        <w:r w:rsidR="00CA6CEB" w:rsidRPr="00CA6CEB">
          <w:rPr>
            <w:rStyle w:val="Hypertextovodkaz"/>
            <w:bCs/>
            <w:color w:val="auto"/>
          </w:rPr>
          <w:t>novackova</w:t>
        </w:r>
        <w:r w:rsidR="00CA6CEB" w:rsidRPr="00CA6CEB">
          <w:rPr>
            <w:rStyle w:val="Hypertextovodkaz"/>
            <w:bCs/>
            <w:color w:val="auto"/>
            <w:lang w:val="en-US"/>
          </w:rPr>
          <w:t>@muuo.cz</w:t>
        </w:r>
      </w:hyperlink>
      <w:r w:rsidR="00CA6CEB" w:rsidRPr="00CA6CEB">
        <w:rPr>
          <w:bCs/>
          <w:color w:val="auto"/>
          <w:lang w:val="en-US"/>
        </w:rPr>
        <w:t>, tel. 730 190 584</w:t>
      </w:r>
      <w:r w:rsidR="006343B1" w:rsidRPr="00CA6CEB">
        <w:rPr>
          <w:color w:val="auto"/>
        </w:rPr>
        <w:t xml:space="preserve">. </w:t>
      </w:r>
    </w:p>
    <w:p w:rsidR="006343B1" w:rsidRPr="00CA6CE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.9</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lastRenderedPageBreak/>
        <w:t>9</w:t>
      </w:r>
      <w:r w:rsidR="006343B1" w:rsidRPr="00C1048B">
        <w:t>.10</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.11</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.12</w:t>
      </w:r>
      <w:r w:rsidR="006343B1"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.13</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.14</w:t>
      </w:r>
      <w:r w:rsidR="006343B1" w:rsidRPr="00C1048B">
        <w:tab/>
        <w:t>Zápis o předání a převzetí díla sepíší smluvní strany do 10 dnů od písemné výzvy</w:t>
      </w:r>
      <w:r w:rsidR="004D4156" w:rsidRPr="00C1048B">
        <w:t xml:space="preserve"> </w:t>
      </w:r>
      <w:r w:rsidR="006343B1"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F345DA" w:rsidP="00C72E43">
      <w:pPr>
        <w:pStyle w:val="Bod1"/>
        <w:rPr>
          <w:color w:val="000000"/>
        </w:rPr>
      </w:pPr>
      <w:r>
        <w:t>9</w:t>
      </w:r>
      <w:r w:rsidR="006343B1" w:rsidRPr="00C1048B">
        <w:t>.15</w:t>
      </w:r>
      <w:r w:rsidR="006343B1" w:rsidRPr="00C1048B">
        <w:tab/>
        <w:t>Dílo bude zhotovitelem předané a objednatelem převzaté i v případě, že v zápise o</w:t>
      </w:r>
      <w:r w:rsidR="004D4156" w:rsidRPr="00C1048B">
        <w:t xml:space="preserve"> </w:t>
      </w:r>
      <w:r w:rsidR="006343B1" w:rsidRPr="00C1048B">
        <w:t>předání a převzetí budou uvedené vady a nedodělky, které samy o sobě, ani ve</w:t>
      </w:r>
      <w:r w:rsidR="004D4156" w:rsidRPr="00C1048B">
        <w:t xml:space="preserve"> </w:t>
      </w:r>
      <w:r w:rsidR="006343B1" w:rsidRPr="00C1048B">
        <w:t xml:space="preserve">spojení s jinými nebrání plynulému a bezpečnému užívání díla. </w:t>
      </w:r>
      <w:r w:rsidR="00871DEC">
        <w:t xml:space="preserve">Za tyto vady a nedodělky se nepovažuje vstupní revize herních prvků. Bez vstupní revize není možno předmět díla převzít. </w:t>
      </w:r>
      <w:r w:rsidR="006343B1" w:rsidRPr="00C1048B">
        <w:t>Tyto zjevné vady a nedodělky musí být uvedeny v zápise o předání a převzetí díla se stanovením</w:t>
      </w:r>
      <w:r w:rsidR="004D4156" w:rsidRPr="00C1048B">
        <w:t xml:space="preserve"> </w:t>
      </w:r>
      <w:r w:rsidR="006343B1" w:rsidRPr="00C1048B">
        <w:t xml:space="preserve">termínu jejich odstranění. </w:t>
      </w:r>
      <w:r w:rsidR="006343B1" w:rsidRPr="00C1048B">
        <w:rPr>
          <w:color w:val="000000"/>
        </w:rPr>
        <w:t>Po odstranění těchto vad a nedodělků bude uvolněna pozastávka dle bodu 6.</w:t>
      </w:r>
      <w:r w:rsidR="00330BA5" w:rsidRPr="00C1048B">
        <w:rPr>
          <w:color w:val="000000"/>
        </w:rPr>
        <w:t>2</w:t>
      </w:r>
      <w:r w:rsidR="006343B1"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F345DA" w:rsidP="00C72E43">
      <w:pPr>
        <w:pStyle w:val="Bod1"/>
      </w:pPr>
      <w:r>
        <w:t>9</w:t>
      </w:r>
      <w:r w:rsidR="006343B1" w:rsidRPr="00C1048B">
        <w:t>.16</w:t>
      </w:r>
      <w:r w:rsidR="006343B1" w:rsidRPr="00C1048B">
        <w:rPr>
          <w:color w:val="000000"/>
        </w:rPr>
        <w:tab/>
      </w:r>
      <w:r w:rsidR="006343B1"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F345DA" w:rsidP="00C72E43">
      <w:pPr>
        <w:pStyle w:val="Bod1"/>
      </w:pPr>
      <w:r>
        <w:t>9</w:t>
      </w:r>
      <w:r w:rsidR="006343B1" w:rsidRPr="00C1048B">
        <w:t>.17</w:t>
      </w:r>
      <w:r w:rsidR="006343B1" w:rsidRPr="00C1048B">
        <w:tab/>
        <w:t>Zhotovitel se zavazuje vyklidit staveniště ke dni předání a převzetí díla objednatelem.</w:t>
      </w:r>
    </w:p>
    <w:p w:rsidR="00946353" w:rsidRDefault="00946353" w:rsidP="00673C1D">
      <w:pPr>
        <w:widowControl w:val="0"/>
        <w:ind w:left="709" w:hanging="709"/>
        <w:jc w:val="both"/>
        <w:rPr>
          <w:rFonts w:asciiTheme="minorHAnsi" w:hAnsiTheme="minorHAnsi"/>
          <w:iCs/>
          <w:sz w:val="22"/>
          <w:szCs w:val="22"/>
        </w:rPr>
      </w:pPr>
    </w:p>
    <w:p w:rsidR="00522444" w:rsidRPr="00C1048B" w:rsidRDefault="00522444"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F345DA" w:rsidP="00A155EB">
      <w:pPr>
        <w:pStyle w:val="Bod1"/>
        <w:rPr>
          <w:color w:val="auto"/>
        </w:rPr>
      </w:pPr>
      <w:r>
        <w:t>10</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F345DA" w:rsidP="00A155EB">
      <w:pPr>
        <w:pStyle w:val="Bod1"/>
      </w:pPr>
      <w:r>
        <w:rPr>
          <w:color w:val="auto"/>
        </w:rPr>
        <w:t>10</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F345DA" w:rsidP="00A155EB">
      <w:pPr>
        <w:pStyle w:val="Bod1"/>
      </w:pPr>
      <w:r>
        <w:t>10</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lastRenderedPageBreak/>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F345DA" w:rsidP="00A155EB">
      <w:pPr>
        <w:pStyle w:val="Bod1"/>
      </w:pPr>
      <w:r>
        <w:t>10</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00F345DA">
        <w:rPr>
          <w:rFonts w:asciiTheme="minorHAnsi" w:hAnsiTheme="minorHAnsi"/>
          <w:iCs/>
          <w:sz w:val="28"/>
          <w:szCs w:val="28"/>
        </w:rPr>
        <w:t>I</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F345DA">
        <w:t>1</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F345DA">
        <w:t>1</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w:t>
      </w:r>
      <w:r w:rsidR="00F345DA">
        <w:t>1</w:t>
      </w:r>
      <w:r w:rsidRPr="00C1048B">
        <w:t>.3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w:t>
      </w:r>
      <w:r w:rsidR="00F345DA">
        <w:t>1</w:t>
      </w:r>
      <w:r w:rsidRPr="00C1048B">
        <w:t>.4</w:t>
      </w:r>
      <w:r w:rsidRPr="00C1048B">
        <w:tab/>
        <w:t xml:space="preserve">Tato smlouva byla schválena Radou města Ústí nad Orlicí dne </w:t>
      </w:r>
      <w:r w:rsidR="009F0E8D">
        <w:t>……………..</w:t>
      </w:r>
      <w:r w:rsidRPr="00171D28">
        <w:rPr>
          <w:color w:val="FF0000"/>
        </w:rPr>
        <w:t xml:space="preserve"> </w:t>
      </w:r>
      <w:r w:rsidRPr="00C1048B">
        <w:t>pod číslem usnesení</w:t>
      </w:r>
      <w:r>
        <w:t xml:space="preserve"> ……………………………………..</w:t>
      </w:r>
    </w:p>
    <w:p w:rsidR="0036121F" w:rsidRDefault="0036121F" w:rsidP="0036121F">
      <w:pPr>
        <w:pStyle w:val="Bod1"/>
      </w:pPr>
    </w:p>
    <w:p w:rsidR="0036121F" w:rsidRPr="000E6153" w:rsidRDefault="0036121F" w:rsidP="0036121F">
      <w:pPr>
        <w:pStyle w:val="Bod1"/>
        <w:rPr>
          <w:color w:val="auto"/>
        </w:rPr>
      </w:pPr>
      <w:r w:rsidRPr="000E6153">
        <w:rPr>
          <w:color w:val="auto"/>
        </w:rPr>
        <w:t>1</w:t>
      </w:r>
      <w:r w:rsidR="00F345DA">
        <w:rPr>
          <w:color w:val="auto"/>
        </w:rPr>
        <w:t>1</w:t>
      </w:r>
      <w:r w:rsidRPr="000E6153">
        <w:rPr>
          <w:color w:val="auto"/>
        </w:rPr>
        <w:t>.5</w:t>
      </w:r>
      <w:r w:rsidRPr="000E6153">
        <w:rPr>
          <w:color w:val="auto"/>
        </w:rPr>
        <w:tab/>
        <w:t>Na tuto smlouvu se vztahuje povinnost uveřejnění prostřednictvím registru smluv a nabývá účinnosti dnem uveřejnění.</w:t>
      </w:r>
    </w:p>
    <w:p w:rsidR="0036121F" w:rsidRDefault="0036121F" w:rsidP="00A155EB">
      <w:pPr>
        <w:pStyle w:val="Bod1"/>
      </w:pPr>
    </w:p>
    <w:p w:rsidR="0036121F" w:rsidRPr="0036121F" w:rsidRDefault="0036121F" w:rsidP="0036121F">
      <w:pPr>
        <w:autoSpaceDE w:val="0"/>
        <w:autoSpaceDN w:val="0"/>
        <w:adjustRightInd w:val="0"/>
        <w:ind w:left="567" w:hanging="567"/>
        <w:jc w:val="both"/>
        <w:rPr>
          <w:rFonts w:asciiTheme="minorHAnsi" w:hAnsiTheme="minorHAnsi"/>
          <w:iCs/>
          <w:color w:val="000000" w:themeColor="text1"/>
          <w:sz w:val="22"/>
          <w:szCs w:val="22"/>
        </w:rPr>
      </w:pPr>
      <w:r w:rsidRPr="0036121F">
        <w:rPr>
          <w:rFonts w:asciiTheme="minorHAnsi" w:hAnsiTheme="minorHAnsi"/>
          <w:iCs/>
          <w:color w:val="000000" w:themeColor="text1"/>
          <w:sz w:val="22"/>
          <w:szCs w:val="22"/>
        </w:rPr>
        <w:t>1</w:t>
      </w:r>
      <w:r w:rsidR="00F345DA">
        <w:rPr>
          <w:rFonts w:asciiTheme="minorHAnsi" w:hAnsiTheme="minorHAnsi"/>
          <w:iCs/>
          <w:color w:val="000000" w:themeColor="text1"/>
          <w:sz w:val="22"/>
          <w:szCs w:val="22"/>
        </w:rPr>
        <w:t>1</w:t>
      </w:r>
      <w:r w:rsidRPr="0036121F">
        <w:rPr>
          <w:rFonts w:asciiTheme="minorHAnsi" w:hAnsiTheme="minorHAnsi"/>
          <w:iCs/>
          <w:color w:val="000000" w:themeColor="text1"/>
          <w:sz w:val="22"/>
          <w:szCs w:val="22"/>
        </w:rPr>
        <w:t>.6</w:t>
      </w:r>
      <w:r w:rsidRPr="0036121F">
        <w:rPr>
          <w:rFonts w:asciiTheme="minorHAnsi" w:hAnsiTheme="minorHAnsi"/>
          <w:iCs/>
          <w:color w:val="000000" w:themeColor="text1"/>
          <w:sz w:val="22"/>
          <w:szCs w:val="22"/>
        </w:rPr>
        <w:tab/>
        <w:t>Smluvní strany prohlašují, že žádná část smlouvy nenaplňuje znaky obchodního tajemství ( § 504 z. č. 89/2012 Sb., občanský zákoník).</w:t>
      </w:r>
    </w:p>
    <w:p w:rsidR="0036121F" w:rsidRDefault="0036121F" w:rsidP="00A155EB">
      <w:pPr>
        <w:pStyle w:val="Bod1"/>
      </w:pPr>
    </w:p>
    <w:p w:rsidR="00B12923" w:rsidRPr="000E6153" w:rsidRDefault="00B12923" w:rsidP="00B12923">
      <w:pPr>
        <w:pStyle w:val="Bod1"/>
        <w:rPr>
          <w:color w:val="auto"/>
        </w:rPr>
      </w:pPr>
      <w:r w:rsidRPr="000E6153">
        <w:rPr>
          <w:color w:val="auto"/>
        </w:rPr>
        <w:t>1</w:t>
      </w:r>
      <w:r w:rsidR="00F345DA">
        <w:rPr>
          <w:color w:val="auto"/>
        </w:rPr>
        <w:t>1</w:t>
      </w:r>
      <w:r w:rsidRPr="000E6153">
        <w:rPr>
          <w:color w:val="auto"/>
        </w:rPr>
        <w:t>.7</w:t>
      </w:r>
      <w:r w:rsidRPr="000E6153">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0E6153" w:rsidRDefault="0036121F" w:rsidP="00A155EB">
      <w:pPr>
        <w:pStyle w:val="Bod1"/>
        <w:rPr>
          <w:color w:val="auto"/>
        </w:rPr>
      </w:pPr>
    </w:p>
    <w:p w:rsidR="00B12923" w:rsidRPr="000E6153" w:rsidRDefault="00F345DA" w:rsidP="00B12923">
      <w:pPr>
        <w:pStyle w:val="Bod1"/>
        <w:rPr>
          <w:color w:val="auto"/>
        </w:rPr>
      </w:pPr>
      <w:r>
        <w:rPr>
          <w:color w:val="auto"/>
        </w:rPr>
        <w:t>11</w:t>
      </w:r>
      <w:r w:rsidR="00B12923" w:rsidRPr="000E6153">
        <w:rPr>
          <w:color w:val="auto"/>
        </w:rPr>
        <w:t>.8</w:t>
      </w:r>
      <w:r w:rsidR="00B12923" w:rsidRPr="000E6153">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0E6153" w:rsidRDefault="0036121F" w:rsidP="00A155EB">
      <w:pPr>
        <w:pStyle w:val="Bod1"/>
        <w:rPr>
          <w:color w:val="auto"/>
        </w:rPr>
      </w:pPr>
    </w:p>
    <w:p w:rsidR="0036121F" w:rsidRPr="000E6153" w:rsidRDefault="0036121F" w:rsidP="0036121F">
      <w:pPr>
        <w:pStyle w:val="Bod1"/>
        <w:rPr>
          <w:color w:val="auto"/>
        </w:rPr>
      </w:pPr>
      <w:r w:rsidRPr="000E6153">
        <w:rPr>
          <w:color w:val="auto"/>
        </w:rPr>
        <w:t>1</w:t>
      </w:r>
      <w:r w:rsidR="00F345DA">
        <w:rPr>
          <w:color w:val="auto"/>
        </w:rPr>
        <w:t>1</w:t>
      </w:r>
      <w:r w:rsidRPr="000E6153">
        <w:rPr>
          <w:color w:val="auto"/>
        </w:rPr>
        <w:t>.</w:t>
      </w:r>
      <w:r w:rsidR="00B12923" w:rsidRPr="000E6153">
        <w:rPr>
          <w:color w:val="auto"/>
        </w:rPr>
        <w:t>9</w:t>
      </w:r>
      <w:r w:rsidRPr="000E6153">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lastRenderedPageBreak/>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sidR="000E6153">
              <w:rPr>
                <w:rFonts w:ascii="Calibri" w:hAnsi="Calibri"/>
                <w:snapToGrid w:val="0"/>
                <w:sz w:val="22"/>
                <w:szCs w:val="22"/>
              </w:rPr>
              <w:t xml:space="preserve">                                                                          </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lastRenderedPageBreak/>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D57CE5" w:rsidRPr="006B2C5B" w:rsidRDefault="00D57CE5" w:rsidP="00D57CE5">
            <w:pPr>
              <w:tabs>
                <w:tab w:val="left" w:pos="9525"/>
              </w:tabs>
              <w:jc w:val="center"/>
              <w:rPr>
                <w:rFonts w:ascii="Calibri" w:hAnsi="Calibri"/>
                <w:snapToGrid w:val="0"/>
                <w:sz w:val="22"/>
                <w:szCs w:val="22"/>
              </w:rPr>
            </w:pPr>
          </w:p>
        </w:tc>
      </w:tr>
      <w:tr w:rsidR="000E6153" w:rsidRPr="006B2C5B" w:rsidTr="00171D28">
        <w:tc>
          <w:tcPr>
            <w:tcW w:w="4536" w:type="dxa"/>
          </w:tcPr>
          <w:p w:rsidR="000E6153" w:rsidRPr="006B2C5B" w:rsidRDefault="000E6153" w:rsidP="008B4A4B">
            <w:pPr>
              <w:tabs>
                <w:tab w:val="left" w:pos="9525"/>
              </w:tabs>
              <w:jc w:val="center"/>
              <w:rPr>
                <w:rFonts w:ascii="Calibri" w:hAnsi="Calibri"/>
                <w:snapToGrid w:val="0"/>
                <w:sz w:val="22"/>
                <w:szCs w:val="22"/>
              </w:rPr>
            </w:pPr>
          </w:p>
        </w:tc>
        <w:tc>
          <w:tcPr>
            <w:tcW w:w="4535" w:type="dxa"/>
          </w:tcPr>
          <w:p w:rsidR="000E6153" w:rsidRPr="006B2C5B" w:rsidRDefault="000E6153" w:rsidP="008B4A4B">
            <w:pPr>
              <w:tabs>
                <w:tab w:val="left" w:pos="9525"/>
              </w:tabs>
              <w:jc w:val="center"/>
              <w:rPr>
                <w:rFonts w:ascii="Calibri" w:hAnsi="Calibri"/>
                <w:snapToGrid w:val="0"/>
                <w:sz w:val="22"/>
                <w:szCs w:val="22"/>
              </w:rPr>
            </w:pPr>
          </w:p>
        </w:tc>
      </w:tr>
    </w:tbl>
    <w:p w:rsidR="00B80535" w:rsidRPr="00C1048B" w:rsidRDefault="00B80535" w:rsidP="00A155EB">
      <w:pPr>
        <w:pStyle w:val="Bod1"/>
      </w:pPr>
    </w:p>
    <w:sectPr w:rsidR="00B80535" w:rsidRPr="00C1048B" w:rsidSect="00A414FE">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T61Eo00">
    <w:panose1 w:val="00000000000000000000"/>
    <w:charset w:val="EE"/>
    <w:family w:val="auto"/>
    <w:notTrueType/>
    <w:pitch w:val="default"/>
    <w:sig w:usb0="00000005" w:usb1="00000000" w:usb2="00000000" w:usb3="00000000" w:csb0="00000002" w:csb1="00000000"/>
  </w:font>
  <w:font w:name="TT622o00">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82A81">
            <w:rPr>
              <w:rFonts w:ascii="Calibri" w:hAnsi="Calibri"/>
              <w:bCs/>
              <w:noProof/>
            </w:rPr>
            <w:t>3</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82A81">
            <w:rPr>
              <w:rFonts w:ascii="Calibri" w:hAnsi="Calibri"/>
              <w:bCs/>
              <w:noProof/>
            </w:rPr>
            <w:t>9</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2AE7E10"/>
    <w:multiLevelType w:val="hybridMultilevel"/>
    <w:tmpl w:val="A8680E36"/>
    <w:lvl w:ilvl="0" w:tplc="6CE898AC">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09F1230D"/>
    <w:multiLevelType w:val="multilevel"/>
    <w:tmpl w:val="E9249434"/>
    <w:lvl w:ilvl="0">
      <w:start w:val="7"/>
      <w:numFmt w:val="decimal"/>
      <w:lvlText w:val="%1"/>
      <w:lvlJc w:val="left"/>
      <w:pPr>
        <w:ind w:left="360" w:hanging="360"/>
      </w:pPr>
      <w:rPr>
        <w:rFonts w:hint="default"/>
        <w:b w:val="0"/>
        <w:i w:val="0"/>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5"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6" w15:restartNumberingAfterBreak="0">
    <w:nsid w:val="24C9706C"/>
    <w:multiLevelType w:val="hybridMultilevel"/>
    <w:tmpl w:val="AB94CE10"/>
    <w:lvl w:ilvl="0" w:tplc="0E5C1F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8"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9"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4EC76715"/>
    <w:multiLevelType w:val="hybridMultilevel"/>
    <w:tmpl w:val="AB94CE10"/>
    <w:lvl w:ilvl="0" w:tplc="0E5C1F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6" w15:restartNumberingAfterBreak="0">
    <w:nsid w:val="525C6C61"/>
    <w:multiLevelType w:val="multilevel"/>
    <w:tmpl w:val="2B969CD4"/>
    <w:lvl w:ilvl="0">
      <w:start w:val="7"/>
      <w:numFmt w:val="decimal"/>
      <w:lvlText w:val="%1"/>
      <w:lvlJc w:val="left"/>
      <w:pPr>
        <w:ind w:left="360" w:hanging="360"/>
      </w:pPr>
      <w:rPr>
        <w:rFonts w:hint="default"/>
        <w:b w:val="0"/>
        <w:i w:val="0"/>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7"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8"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9"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0"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1"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8"/>
  </w:num>
  <w:num w:numId="2">
    <w:abstractNumId w:val="10"/>
  </w:num>
  <w:num w:numId="3">
    <w:abstractNumId w:val="19"/>
  </w:num>
  <w:num w:numId="4">
    <w:abstractNumId w:val="17"/>
  </w:num>
  <w:num w:numId="5">
    <w:abstractNumId w:val="8"/>
  </w:num>
  <w:num w:numId="6">
    <w:abstractNumId w:val="0"/>
  </w:num>
  <w:num w:numId="7">
    <w:abstractNumId w:val="13"/>
  </w:num>
  <w:num w:numId="8">
    <w:abstractNumId w:val="2"/>
  </w:num>
  <w:num w:numId="9">
    <w:abstractNumId w:val="12"/>
  </w:num>
  <w:num w:numId="10">
    <w:abstractNumId w:val="21"/>
  </w:num>
  <w:num w:numId="11">
    <w:abstractNumId w:val="4"/>
  </w:num>
  <w:num w:numId="12">
    <w:abstractNumId w:val="9"/>
  </w:num>
  <w:num w:numId="13">
    <w:abstractNumId w:val="5"/>
  </w:num>
  <w:num w:numId="14">
    <w:abstractNumId w:val="15"/>
  </w:num>
  <w:num w:numId="15">
    <w:abstractNumId w:val="20"/>
  </w:num>
  <w:num w:numId="16">
    <w:abstractNumId w:val="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
  </w:num>
  <w:num w:numId="19">
    <w:abstractNumId w:val="16"/>
  </w:num>
  <w:num w:numId="20">
    <w:abstractNumId w:val="3"/>
  </w:num>
  <w:num w:numId="21">
    <w:abstractNumId w:val="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482"/>
    <w:rsid w:val="0001760C"/>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D16C2"/>
    <w:rsid w:val="000D7212"/>
    <w:rsid w:val="000E6153"/>
    <w:rsid w:val="001000E4"/>
    <w:rsid w:val="001007C3"/>
    <w:rsid w:val="00112E27"/>
    <w:rsid w:val="001315FE"/>
    <w:rsid w:val="00132D7D"/>
    <w:rsid w:val="00137C7B"/>
    <w:rsid w:val="001437EF"/>
    <w:rsid w:val="00152305"/>
    <w:rsid w:val="00164E3D"/>
    <w:rsid w:val="00167054"/>
    <w:rsid w:val="00167146"/>
    <w:rsid w:val="00171D28"/>
    <w:rsid w:val="0017476C"/>
    <w:rsid w:val="00175F7C"/>
    <w:rsid w:val="001B01CC"/>
    <w:rsid w:val="001B5C5F"/>
    <w:rsid w:val="001C43C9"/>
    <w:rsid w:val="001C6A6E"/>
    <w:rsid w:val="001D276D"/>
    <w:rsid w:val="001E31B4"/>
    <w:rsid w:val="00200139"/>
    <w:rsid w:val="00223BDB"/>
    <w:rsid w:val="0022740F"/>
    <w:rsid w:val="00240761"/>
    <w:rsid w:val="00246257"/>
    <w:rsid w:val="00250316"/>
    <w:rsid w:val="00250B65"/>
    <w:rsid w:val="00252C06"/>
    <w:rsid w:val="002574FF"/>
    <w:rsid w:val="00257C62"/>
    <w:rsid w:val="00287728"/>
    <w:rsid w:val="0029134F"/>
    <w:rsid w:val="00291B0C"/>
    <w:rsid w:val="002C75E8"/>
    <w:rsid w:val="002F53BA"/>
    <w:rsid w:val="002F685E"/>
    <w:rsid w:val="002F7393"/>
    <w:rsid w:val="00313AAF"/>
    <w:rsid w:val="00314025"/>
    <w:rsid w:val="0032301A"/>
    <w:rsid w:val="00324EEF"/>
    <w:rsid w:val="00330BA5"/>
    <w:rsid w:val="00331AA1"/>
    <w:rsid w:val="003427AF"/>
    <w:rsid w:val="00356836"/>
    <w:rsid w:val="0036121F"/>
    <w:rsid w:val="00361239"/>
    <w:rsid w:val="00365C6B"/>
    <w:rsid w:val="003672B2"/>
    <w:rsid w:val="003678D5"/>
    <w:rsid w:val="00373E6A"/>
    <w:rsid w:val="00376854"/>
    <w:rsid w:val="00381C06"/>
    <w:rsid w:val="00387BA0"/>
    <w:rsid w:val="00397F23"/>
    <w:rsid w:val="003B1C48"/>
    <w:rsid w:val="003C14D0"/>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22444"/>
    <w:rsid w:val="0052414B"/>
    <w:rsid w:val="00541CA3"/>
    <w:rsid w:val="00567849"/>
    <w:rsid w:val="00570F89"/>
    <w:rsid w:val="00584D70"/>
    <w:rsid w:val="00584DCE"/>
    <w:rsid w:val="00590E66"/>
    <w:rsid w:val="005949B3"/>
    <w:rsid w:val="00595AAC"/>
    <w:rsid w:val="005A512C"/>
    <w:rsid w:val="005A59AF"/>
    <w:rsid w:val="005A5F4F"/>
    <w:rsid w:val="005A63E9"/>
    <w:rsid w:val="005B31A9"/>
    <w:rsid w:val="005D0017"/>
    <w:rsid w:val="005D347B"/>
    <w:rsid w:val="005E2708"/>
    <w:rsid w:val="005F4B26"/>
    <w:rsid w:val="005F6119"/>
    <w:rsid w:val="00601A44"/>
    <w:rsid w:val="00602563"/>
    <w:rsid w:val="00607366"/>
    <w:rsid w:val="00613E52"/>
    <w:rsid w:val="00621D80"/>
    <w:rsid w:val="006343B1"/>
    <w:rsid w:val="006352FD"/>
    <w:rsid w:val="00647473"/>
    <w:rsid w:val="006540F2"/>
    <w:rsid w:val="00673C1D"/>
    <w:rsid w:val="00684FDA"/>
    <w:rsid w:val="00686750"/>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1668"/>
    <w:rsid w:val="0072397B"/>
    <w:rsid w:val="00725CBA"/>
    <w:rsid w:val="007364D7"/>
    <w:rsid w:val="0074383D"/>
    <w:rsid w:val="00760BA7"/>
    <w:rsid w:val="0076495C"/>
    <w:rsid w:val="00764B6D"/>
    <w:rsid w:val="007662E2"/>
    <w:rsid w:val="00774111"/>
    <w:rsid w:val="00781B12"/>
    <w:rsid w:val="00793A2A"/>
    <w:rsid w:val="007A72FE"/>
    <w:rsid w:val="007A7831"/>
    <w:rsid w:val="007B1ED0"/>
    <w:rsid w:val="007B2B16"/>
    <w:rsid w:val="007B786D"/>
    <w:rsid w:val="007C3160"/>
    <w:rsid w:val="007C444D"/>
    <w:rsid w:val="007C5939"/>
    <w:rsid w:val="007D6ABC"/>
    <w:rsid w:val="007E023F"/>
    <w:rsid w:val="007F0213"/>
    <w:rsid w:val="007F0F54"/>
    <w:rsid w:val="007F7C57"/>
    <w:rsid w:val="008248BB"/>
    <w:rsid w:val="00840158"/>
    <w:rsid w:val="00850D2E"/>
    <w:rsid w:val="008567C7"/>
    <w:rsid w:val="008634CC"/>
    <w:rsid w:val="008653F0"/>
    <w:rsid w:val="00871DEC"/>
    <w:rsid w:val="00875826"/>
    <w:rsid w:val="008762CC"/>
    <w:rsid w:val="008804E6"/>
    <w:rsid w:val="00882E39"/>
    <w:rsid w:val="00893900"/>
    <w:rsid w:val="008A69E5"/>
    <w:rsid w:val="008A6AA7"/>
    <w:rsid w:val="008B0363"/>
    <w:rsid w:val="008B25D9"/>
    <w:rsid w:val="008C4F12"/>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63B39"/>
    <w:rsid w:val="0097117C"/>
    <w:rsid w:val="0097159C"/>
    <w:rsid w:val="00993011"/>
    <w:rsid w:val="00996801"/>
    <w:rsid w:val="00997C78"/>
    <w:rsid w:val="009B5011"/>
    <w:rsid w:val="009C16F0"/>
    <w:rsid w:val="009C59B0"/>
    <w:rsid w:val="009E444B"/>
    <w:rsid w:val="009F0E8D"/>
    <w:rsid w:val="00A012F5"/>
    <w:rsid w:val="00A0599F"/>
    <w:rsid w:val="00A155EB"/>
    <w:rsid w:val="00A22EEE"/>
    <w:rsid w:val="00A26E06"/>
    <w:rsid w:val="00A3734B"/>
    <w:rsid w:val="00A40B9F"/>
    <w:rsid w:val="00A414FE"/>
    <w:rsid w:val="00A41622"/>
    <w:rsid w:val="00A53BBC"/>
    <w:rsid w:val="00A54A11"/>
    <w:rsid w:val="00A55300"/>
    <w:rsid w:val="00A63814"/>
    <w:rsid w:val="00A6434D"/>
    <w:rsid w:val="00A66FDA"/>
    <w:rsid w:val="00A70933"/>
    <w:rsid w:val="00A717F7"/>
    <w:rsid w:val="00A739B5"/>
    <w:rsid w:val="00A80134"/>
    <w:rsid w:val="00A81E38"/>
    <w:rsid w:val="00A82A81"/>
    <w:rsid w:val="00A87198"/>
    <w:rsid w:val="00AA0805"/>
    <w:rsid w:val="00AA1757"/>
    <w:rsid w:val="00AB1DD3"/>
    <w:rsid w:val="00AB2851"/>
    <w:rsid w:val="00AB393A"/>
    <w:rsid w:val="00AC4520"/>
    <w:rsid w:val="00AC606A"/>
    <w:rsid w:val="00AD1F0F"/>
    <w:rsid w:val="00AE3770"/>
    <w:rsid w:val="00AE73A5"/>
    <w:rsid w:val="00AF50BE"/>
    <w:rsid w:val="00AF6A34"/>
    <w:rsid w:val="00B12923"/>
    <w:rsid w:val="00B24832"/>
    <w:rsid w:val="00B3370E"/>
    <w:rsid w:val="00B34247"/>
    <w:rsid w:val="00B46333"/>
    <w:rsid w:val="00B57092"/>
    <w:rsid w:val="00B62DE6"/>
    <w:rsid w:val="00B64E58"/>
    <w:rsid w:val="00B804A7"/>
    <w:rsid w:val="00B80535"/>
    <w:rsid w:val="00B849EC"/>
    <w:rsid w:val="00B940D6"/>
    <w:rsid w:val="00BA0ECE"/>
    <w:rsid w:val="00BA46F6"/>
    <w:rsid w:val="00BB43BB"/>
    <w:rsid w:val="00BB600C"/>
    <w:rsid w:val="00BC2E45"/>
    <w:rsid w:val="00BD2CB6"/>
    <w:rsid w:val="00BD4FCA"/>
    <w:rsid w:val="00BE2447"/>
    <w:rsid w:val="00C04EFF"/>
    <w:rsid w:val="00C1048B"/>
    <w:rsid w:val="00C14E0B"/>
    <w:rsid w:val="00C21036"/>
    <w:rsid w:val="00C21E45"/>
    <w:rsid w:val="00C2212A"/>
    <w:rsid w:val="00C25A2B"/>
    <w:rsid w:val="00C533E9"/>
    <w:rsid w:val="00C5698E"/>
    <w:rsid w:val="00C56F8C"/>
    <w:rsid w:val="00C62F24"/>
    <w:rsid w:val="00C72E43"/>
    <w:rsid w:val="00C74B31"/>
    <w:rsid w:val="00C8253C"/>
    <w:rsid w:val="00C87048"/>
    <w:rsid w:val="00C91295"/>
    <w:rsid w:val="00C9359F"/>
    <w:rsid w:val="00CA17D3"/>
    <w:rsid w:val="00CA432F"/>
    <w:rsid w:val="00CA67D7"/>
    <w:rsid w:val="00CA6851"/>
    <w:rsid w:val="00CA6CEB"/>
    <w:rsid w:val="00CC50E6"/>
    <w:rsid w:val="00CD1C7D"/>
    <w:rsid w:val="00CD42B7"/>
    <w:rsid w:val="00CD799F"/>
    <w:rsid w:val="00D022EE"/>
    <w:rsid w:val="00D03EA6"/>
    <w:rsid w:val="00D0705C"/>
    <w:rsid w:val="00D15472"/>
    <w:rsid w:val="00D26C00"/>
    <w:rsid w:val="00D507E0"/>
    <w:rsid w:val="00D51122"/>
    <w:rsid w:val="00D55F13"/>
    <w:rsid w:val="00D57CE5"/>
    <w:rsid w:val="00D643D0"/>
    <w:rsid w:val="00D66C86"/>
    <w:rsid w:val="00D67024"/>
    <w:rsid w:val="00D70719"/>
    <w:rsid w:val="00D730CA"/>
    <w:rsid w:val="00DA43C3"/>
    <w:rsid w:val="00DA4594"/>
    <w:rsid w:val="00DA6EAA"/>
    <w:rsid w:val="00DB1C75"/>
    <w:rsid w:val="00DB4FD4"/>
    <w:rsid w:val="00DD4D3E"/>
    <w:rsid w:val="00DE1915"/>
    <w:rsid w:val="00DE2217"/>
    <w:rsid w:val="00DE3813"/>
    <w:rsid w:val="00DF5292"/>
    <w:rsid w:val="00DF79AD"/>
    <w:rsid w:val="00E01592"/>
    <w:rsid w:val="00E2087D"/>
    <w:rsid w:val="00E2421D"/>
    <w:rsid w:val="00E250C7"/>
    <w:rsid w:val="00E25AA8"/>
    <w:rsid w:val="00E30F6B"/>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227C1"/>
    <w:rsid w:val="00F345DA"/>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character" w:styleId="Hypertextovodkaz">
    <w:name w:val="Hyperlink"/>
    <w:basedOn w:val="Standardnpsmoodstavce"/>
    <w:rsid w:val="00CA6CEB"/>
    <w:rPr>
      <w:color w:val="0563C1" w:themeColor="hyperlink"/>
      <w:u w:val="single"/>
    </w:rPr>
  </w:style>
  <w:style w:type="paragraph" w:styleId="Odstavecseseznamem">
    <w:name w:val="List Paragraph"/>
    <w:basedOn w:val="Normln"/>
    <w:uiPriority w:val="34"/>
    <w:qFormat/>
    <w:rsid w:val="00D73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ovackova@muuo.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761ED-F515-430A-B923-9F14CF945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na bytovky 24.3.00</Template>
  <TotalTime>360</TotalTime>
  <Pages>9</Pages>
  <Words>2406</Words>
  <Characters>14296</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Jana Nováčková</cp:lastModifiedBy>
  <cp:revision>11</cp:revision>
  <cp:lastPrinted>2017-04-18T12:39:00Z</cp:lastPrinted>
  <dcterms:created xsi:type="dcterms:W3CDTF">2017-04-11T06:55:00Z</dcterms:created>
  <dcterms:modified xsi:type="dcterms:W3CDTF">2017-04-20T04:56:00Z</dcterms:modified>
</cp:coreProperties>
</file>